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highlight w:val="none"/>
        </w:rPr>
      </w:pPr>
      <w:r>
        <w:rPr>
          <w:rFonts w:hint="eastAsia"/>
          <w:b/>
          <w:sz w:val="36"/>
          <w:highlight w:val="none"/>
        </w:rPr>
        <w:t>《核电厂含硼水中锌浓度的测定</w:t>
      </w:r>
      <w:r>
        <w:rPr>
          <w:b/>
          <w:sz w:val="36"/>
          <w:highlight w:val="none"/>
        </w:rPr>
        <w:t xml:space="preserve"> 离子</w:t>
      </w:r>
      <w:r>
        <w:rPr>
          <w:rFonts w:hint="eastAsia"/>
          <w:b/>
          <w:sz w:val="36"/>
          <w:highlight w:val="none"/>
          <w:lang w:val="en-US" w:eastAsia="zh-CN"/>
        </w:rPr>
        <w:t>色谱</w:t>
      </w:r>
      <w:r>
        <w:rPr>
          <w:b/>
          <w:sz w:val="36"/>
          <w:highlight w:val="none"/>
        </w:rPr>
        <w:t>法</w:t>
      </w:r>
      <w:r>
        <w:rPr>
          <w:rFonts w:hint="eastAsia"/>
          <w:b/>
          <w:sz w:val="36"/>
          <w:highlight w:val="none"/>
        </w:rPr>
        <w:t>》</w:t>
      </w:r>
    </w:p>
    <w:p>
      <w:pPr>
        <w:jc w:val="center"/>
        <w:rPr>
          <w:b/>
          <w:sz w:val="36"/>
          <w:highlight w:val="none"/>
        </w:rPr>
      </w:pPr>
      <w:r>
        <w:rPr>
          <w:rFonts w:hint="eastAsia"/>
          <w:b/>
          <w:sz w:val="36"/>
          <w:highlight w:val="none"/>
        </w:rPr>
        <w:t>编制说明</w:t>
      </w:r>
      <w:bookmarkStart w:id="0" w:name="_GoBack"/>
      <w:bookmarkEnd w:id="0"/>
    </w:p>
    <w:p>
      <w:pPr>
        <w:jc w:val="center"/>
        <w:rPr>
          <w:b/>
          <w:sz w:val="36"/>
          <w:highlight w:val="none"/>
        </w:rPr>
      </w:pPr>
      <w:r>
        <w:rPr>
          <w:rFonts w:hint="eastAsia"/>
          <w:b/>
          <w:sz w:val="36"/>
          <w:highlight w:val="none"/>
        </w:rPr>
        <w:t>（征求意见稿）</w:t>
      </w:r>
    </w:p>
    <w:p>
      <w:pPr>
        <w:outlineLvl w:val="0"/>
        <w:rPr>
          <w:b/>
          <w:sz w:val="28"/>
          <w:szCs w:val="28"/>
          <w:highlight w:val="none"/>
        </w:rPr>
      </w:pPr>
      <w:r>
        <w:rPr>
          <w:rFonts w:hint="eastAsia"/>
          <w:b/>
          <w:sz w:val="28"/>
          <w:szCs w:val="28"/>
          <w:highlight w:val="none"/>
        </w:rPr>
        <w:t>一、工作简况</w:t>
      </w:r>
    </w:p>
    <w:p>
      <w:pPr>
        <w:rPr>
          <w:b/>
          <w:highlight w:val="none"/>
        </w:rPr>
      </w:pPr>
      <w:r>
        <w:rPr>
          <w:rFonts w:hint="eastAsia"/>
          <w:b/>
          <w:highlight w:val="none"/>
        </w:rPr>
        <w:t>1、任务来源</w:t>
      </w:r>
    </w:p>
    <w:p>
      <w:pPr>
        <w:pStyle w:val="9"/>
        <w:autoSpaceDE w:val="0"/>
        <w:autoSpaceDN w:val="0"/>
        <w:spacing w:line="360" w:lineRule="auto"/>
        <w:ind w:firstLine="480"/>
        <w:textAlignment w:val="center"/>
        <w:rPr>
          <w:rFonts w:hint="eastAsia" w:ascii="宋体" w:hAnsi="宋体"/>
          <w:sz w:val="24"/>
          <w:highlight w:val="none"/>
          <w:lang w:val="en-US" w:eastAsia="zh-CN"/>
        </w:rPr>
      </w:pPr>
      <w:r>
        <w:rPr>
          <w:rFonts w:hint="eastAsia" w:ascii="宋体" w:hAnsi="宋体"/>
          <w:sz w:val="24"/>
          <w:highlight w:val="none"/>
        </w:rPr>
        <w:t>本标准是</w:t>
      </w:r>
      <w:r>
        <w:rPr>
          <w:rFonts w:hint="eastAsia"/>
          <w:sz w:val="24"/>
          <w:szCs w:val="32"/>
          <w:highlight w:val="none"/>
        </w:rPr>
        <w:t>根</w:t>
      </w:r>
      <w:r>
        <w:rPr>
          <w:rFonts w:hint="eastAsia" w:ascii="宋体" w:hAnsi="宋体"/>
          <w:sz w:val="24"/>
          <w:highlight w:val="none"/>
        </w:rPr>
        <w:t>据中国核能行业协会《关于</w:t>
      </w:r>
      <w:r>
        <w:rPr>
          <w:rFonts w:hint="eastAsia" w:ascii="宋体" w:hAnsi="宋体"/>
          <w:sz w:val="24"/>
          <w:highlight w:val="none"/>
          <w:lang w:eastAsia="zh-CN"/>
        </w:rPr>
        <w:t>《</w:t>
      </w:r>
      <w:r>
        <w:rPr>
          <w:rFonts w:hint="eastAsia" w:ascii="宋体" w:hAnsi="宋体"/>
          <w:sz w:val="24"/>
          <w:highlight w:val="none"/>
          <w:lang w:val="en-US" w:eastAsia="zh-CN"/>
        </w:rPr>
        <w:t>核电行业Wi-Fi无线专网技术与管理规范</w:t>
      </w:r>
      <w:r>
        <w:rPr>
          <w:rFonts w:hint="eastAsia" w:ascii="宋体" w:hAnsi="宋体"/>
          <w:sz w:val="24"/>
          <w:highlight w:val="none"/>
          <w:lang w:eastAsia="zh-CN"/>
        </w:rPr>
        <w:t>》</w:t>
      </w:r>
      <w:r>
        <w:rPr>
          <w:rFonts w:hint="eastAsia" w:ascii="宋体" w:hAnsi="宋体"/>
          <w:sz w:val="24"/>
          <w:highlight w:val="none"/>
          <w:lang w:val="en-US" w:eastAsia="zh-CN"/>
        </w:rPr>
        <w:t>等13项拟立项核协团体的公示</w:t>
      </w:r>
      <w:r>
        <w:rPr>
          <w:rFonts w:hint="eastAsia" w:ascii="宋体" w:hAnsi="宋体"/>
          <w:sz w:val="24"/>
          <w:highlight w:val="none"/>
        </w:rPr>
        <w:t>》（核协科函（202</w:t>
      </w:r>
      <w:r>
        <w:rPr>
          <w:rFonts w:hint="eastAsia" w:ascii="宋体" w:hAnsi="宋体"/>
          <w:sz w:val="24"/>
          <w:highlight w:val="none"/>
          <w:lang w:val="en-US" w:eastAsia="zh-CN"/>
        </w:rPr>
        <w:t>5</w:t>
      </w:r>
      <w:r>
        <w:rPr>
          <w:rFonts w:hint="eastAsia" w:ascii="宋体" w:hAnsi="宋体"/>
          <w:sz w:val="24"/>
          <w:highlight w:val="none"/>
        </w:rPr>
        <w:t>）</w:t>
      </w:r>
      <w:r>
        <w:rPr>
          <w:rFonts w:hint="eastAsia" w:ascii="宋体" w:hAnsi="宋体"/>
          <w:sz w:val="24"/>
          <w:highlight w:val="none"/>
          <w:lang w:val="en-US" w:eastAsia="zh-CN"/>
        </w:rPr>
        <w:t>577</w:t>
      </w:r>
      <w:r>
        <w:rPr>
          <w:rFonts w:hint="eastAsia" w:ascii="宋体" w:hAnsi="宋体"/>
          <w:sz w:val="24"/>
          <w:highlight w:val="none"/>
        </w:rPr>
        <w:t>号）部署，针</w:t>
      </w:r>
      <w:r>
        <w:rPr>
          <w:rFonts w:hint="eastAsia" w:ascii="宋体" w:hAnsi="宋体"/>
          <w:sz w:val="24"/>
          <w:highlight w:val="none"/>
          <w:lang w:val="en-US" w:eastAsia="zh-CN"/>
        </w:rPr>
        <w:t>对核电运行领域展开标准制定。</w:t>
      </w:r>
    </w:p>
    <w:p>
      <w:pPr>
        <w:pStyle w:val="9"/>
        <w:autoSpaceDE w:val="0"/>
        <w:autoSpaceDN w:val="0"/>
        <w:spacing w:line="360" w:lineRule="auto"/>
        <w:ind w:firstLine="480"/>
        <w:textAlignment w:val="center"/>
        <w:rPr>
          <w:rFonts w:hint="eastAsia" w:ascii="宋体" w:hAnsi="宋体"/>
          <w:sz w:val="24"/>
          <w:highlight w:val="none"/>
          <w:lang w:val="en-US" w:eastAsia="zh-CN"/>
        </w:rPr>
      </w:pPr>
      <w:r>
        <w:rPr>
          <w:rFonts w:hint="eastAsia" w:ascii="宋体" w:hAnsi="宋体"/>
          <w:sz w:val="24"/>
          <w:highlight w:val="none"/>
          <w:lang w:val="en-US" w:eastAsia="zh-CN"/>
        </w:rPr>
        <w:t>本标准由国家重点研发计划（National Key R&amp;D Program of China）资助，项目编号：2024YFF0725900</w:t>
      </w:r>
    </w:p>
    <w:p>
      <w:pPr>
        <w:pStyle w:val="9"/>
        <w:autoSpaceDE w:val="0"/>
        <w:autoSpaceDN w:val="0"/>
        <w:spacing w:line="360" w:lineRule="auto"/>
        <w:ind w:firstLine="480"/>
        <w:textAlignment w:val="center"/>
        <w:rPr>
          <w:highlight w:val="none"/>
        </w:rPr>
      </w:pPr>
      <w:r>
        <w:rPr>
          <w:rFonts w:hint="eastAsia" w:ascii="宋体" w:hAnsi="宋体"/>
          <w:sz w:val="24"/>
          <w:highlight w:val="none"/>
        </w:rPr>
        <w:t>本标准的主要起草单位为三门核电有限公司，标准于202</w:t>
      </w:r>
      <w:r>
        <w:rPr>
          <w:rFonts w:hint="eastAsia" w:ascii="宋体" w:hAnsi="宋体"/>
          <w:sz w:val="24"/>
          <w:highlight w:val="none"/>
          <w:lang w:val="en-US" w:eastAsia="zh-CN"/>
        </w:rPr>
        <w:t>5</w:t>
      </w:r>
      <w:r>
        <w:rPr>
          <w:rFonts w:hint="eastAsia" w:ascii="宋体" w:hAnsi="宋体"/>
          <w:sz w:val="24"/>
          <w:highlight w:val="none"/>
        </w:rPr>
        <w:t>年</w:t>
      </w:r>
      <w:r>
        <w:rPr>
          <w:rFonts w:hint="eastAsia" w:ascii="宋体" w:hAnsi="宋体"/>
          <w:sz w:val="24"/>
          <w:highlight w:val="none"/>
          <w:lang w:val="en-US" w:eastAsia="zh-CN"/>
        </w:rPr>
        <w:t>11</w:t>
      </w:r>
      <w:r>
        <w:rPr>
          <w:rFonts w:hint="eastAsia" w:ascii="宋体" w:hAnsi="宋体"/>
          <w:sz w:val="24"/>
          <w:highlight w:val="none"/>
        </w:rPr>
        <w:t>月完成草案编制。</w:t>
      </w:r>
    </w:p>
    <w:p>
      <w:pPr>
        <w:rPr>
          <w:b/>
          <w:highlight w:val="none"/>
        </w:rPr>
      </w:pPr>
      <w:r>
        <w:rPr>
          <w:rFonts w:hint="eastAsia"/>
          <w:b/>
          <w:highlight w:val="none"/>
        </w:rPr>
        <w:t>2、主要工作过程</w:t>
      </w:r>
    </w:p>
    <w:p>
      <w:pPr>
        <w:pStyle w:val="9"/>
        <w:autoSpaceDE w:val="0"/>
        <w:autoSpaceDN w:val="0"/>
        <w:spacing w:line="360" w:lineRule="auto"/>
        <w:ind w:firstLine="480"/>
        <w:textAlignment w:val="center"/>
        <w:rPr>
          <w:rFonts w:hAnsi="宋体"/>
          <w:sz w:val="24"/>
          <w:highlight w:val="none"/>
        </w:rPr>
      </w:pPr>
      <w:r>
        <w:rPr>
          <w:rFonts w:hint="eastAsia" w:hAnsi="宋体"/>
          <w:sz w:val="24"/>
          <w:highlight w:val="none"/>
        </w:rPr>
        <w:t>编制组在</w:t>
      </w:r>
      <w:r>
        <w:rPr>
          <w:rFonts w:hAnsi="宋体"/>
          <w:sz w:val="24"/>
          <w:highlight w:val="none"/>
        </w:rPr>
        <w:t>收集</w:t>
      </w:r>
      <w:r>
        <w:rPr>
          <w:rFonts w:hint="eastAsia" w:hAnsi="宋体"/>
          <w:sz w:val="24"/>
          <w:highlight w:val="none"/>
        </w:rPr>
        <w:t>并充分消化吸收国内、外相关标准</w:t>
      </w:r>
      <w:r>
        <w:rPr>
          <w:rFonts w:hint="eastAsia" w:hAnsi="宋体"/>
          <w:sz w:val="24"/>
          <w:highlight w:val="none"/>
          <w:lang w:eastAsia="zh-CN"/>
        </w:rPr>
        <w:t>，</w:t>
      </w:r>
      <w:r>
        <w:rPr>
          <w:rFonts w:hint="eastAsia" w:hAnsi="宋体"/>
          <w:sz w:val="24"/>
          <w:highlight w:val="none"/>
        </w:rPr>
        <w:t>期刊论文的</w:t>
      </w:r>
      <w:r>
        <w:rPr>
          <w:rFonts w:hAnsi="宋体"/>
          <w:sz w:val="24"/>
          <w:highlight w:val="none"/>
        </w:rPr>
        <w:t>基础上，</w:t>
      </w:r>
      <w:r>
        <w:rPr>
          <w:rFonts w:hint="eastAsia" w:hAnsi="宋体"/>
          <w:sz w:val="24"/>
          <w:highlight w:val="none"/>
        </w:rPr>
        <w:t>结合核电</w:t>
      </w:r>
      <w:r>
        <w:rPr>
          <w:rFonts w:hAnsi="宋体"/>
          <w:sz w:val="24"/>
          <w:highlight w:val="none"/>
        </w:rPr>
        <w:t>站一回路样品特点开展</w:t>
      </w:r>
      <w:r>
        <w:rPr>
          <w:rFonts w:hint="eastAsia" w:hAnsi="宋体"/>
          <w:sz w:val="24"/>
          <w:highlight w:val="none"/>
        </w:rPr>
        <w:t>方法开发</w:t>
      </w:r>
      <w:r>
        <w:rPr>
          <w:rFonts w:hAnsi="宋体"/>
          <w:sz w:val="24"/>
          <w:highlight w:val="none"/>
        </w:rPr>
        <w:t>和实验</w:t>
      </w:r>
      <w:r>
        <w:rPr>
          <w:rFonts w:hint="eastAsia" w:hAnsi="宋体"/>
          <w:sz w:val="24"/>
          <w:highlight w:val="none"/>
        </w:rPr>
        <w:t>数据收集工作，</w:t>
      </w:r>
      <w:r>
        <w:rPr>
          <w:rFonts w:hAnsi="宋体"/>
          <w:sz w:val="24"/>
          <w:highlight w:val="none"/>
        </w:rPr>
        <w:t>并制定了标准编制原则</w:t>
      </w:r>
      <w:r>
        <w:rPr>
          <w:rFonts w:hint="eastAsia" w:hAnsi="宋体"/>
          <w:sz w:val="24"/>
          <w:highlight w:val="none"/>
        </w:rPr>
        <w:t>。</w:t>
      </w:r>
    </w:p>
    <w:p>
      <w:pPr>
        <w:pStyle w:val="9"/>
        <w:autoSpaceDE w:val="0"/>
        <w:autoSpaceDN w:val="0"/>
        <w:spacing w:line="360" w:lineRule="auto"/>
        <w:ind w:firstLine="480"/>
        <w:textAlignment w:val="center"/>
        <w:rPr>
          <w:rFonts w:hAnsi="宋体"/>
          <w:sz w:val="24"/>
          <w:highlight w:val="none"/>
        </w:rPr>
      </w:pPr>
      <w:r>
        <w:rPr>
          <w:rFonts w:hint="eastAsia" w:hAnsi="宋体"/>
          <w:sz w:val="24"/>
          <w:highlight w:val="none"/>
        </w:rPr>
        <w:t>根据标准编制原则，于20</w:t>
      </w:r>
      <w:r>
        <w:rPr>
          <w:rFonts w:hAnsi="宋体"/>
          <w:sz w:val="24"/>
          <w:highlight w:val="none"/>
        </w:rPr>
        <w:t>2</w:t>
      </w:r>
      <w:r>
        <w:rPr>
          <w:rFonts w:hint="eastAsia" w:hAnsi="宋体"/>
          <w:sz w:val="24"/>
          <w:highlight w:val="none"/>
          <w:lang w:val="en-US" w:eastAsia="zh-CN"/>
        </w:rPr>
        <w:t>5</w:t>
      </w:r>
      <w:r>
        <w:rPr>
          <w:rFonts w:hint="eastAsia" w:hAnsi="宋体"/>
          <w:sz w:val="24"/>
          <w:highlight w:val="none"/>
        </w:rPr>
        <w:t>年</w:t>
      </w:r>
      <w:r>
        <w:rPr>
          <w:rFonts w:hAnsi="宋体"/>
          <w:sz w:val="24"/>
          <w:highlight w:val="none"/>
        </w:rPr>
        <w:t>1</w:t>
      </w:r>
      <w:r>
        <w:rPr>
          <w:rFonts w:hint="eastAsia" w:hAnsi="宋体"/>
          <w:sz w:val="24"/>
          <w:highlight w:val="none"/>
          <w:lang w:val="en-US" w:eastAsia="zh-CN"/>
        </w:rPr>
        <w:t>1</w:t>
      </w:r>
      <w:r>
        <w:rPr>
          <w:rFonts w:hint="eastAsia" w:hAnsi="宋体"/>
          <w:sz w:val="24"/>
          <w:highlight w:val="none"/>
        </w:rPr>
        <w:t>月完成了标准征求意见稿（草案）。随后，编制组内部对草案内容进行了数次校核</w:t>
      </w:r>
      <w:r>
        <w:rPr>
          <w:rFonts w:hAnsi="宋体"/>
          <w:sz w:val="24"/>
          <w:highlight w:val="none"/>
        </w:rPr>
        <w:t>和修改</w:t>
      </w:r>
      <w:r>
        <w:rPr>
          <w:rFonts w:hint="eastAsia" w:hAnsi="宋体"/>
          <w:sz w:val="24"/>
          <w:highlight w:val="none"/>
        </w:rPr>
        <w:t>。</w:t>
      </w:r>
    </w:p>
    <w:p>
      <w:pPr>
        <w:rPr>
          <w:b/>
          <w:highlight w:val="none"/>
        </w:rPr>
      </w:pPr>
      <w:r>
        <w:rPr>
          <w:rFonts w:hint="eastAsia"/>
          <w:b/>
          <w:highlight w:val="none"/>
        </w:rPr>
        <w:t>3、</w:t>
      </w:r>
      <w:r>
        <w:rPr>
          <w:b/>
          <w:highlight w:val="none"/>
        </w:rPr>
        <w:t>主要参加单位和工作组成员及其所作的工作等</w:t>
      </w:r>
    </w:p>
    <w:p>
      <w:pPr>
        <w:pStyle w:val="9"/>
        <w:autoSpaceDE w:val="0"/>
        <w:autoSpaceDN w:val="0"/>
        <w:spacing w:line="360" w:lineRule="auto"/>
        <w:ind w:firstLine="480"/>
        <w:textAlignment w:val="center"/>
        <w:rPr>
          <w:rFonts w:hint="eastAsia"/>
          <w:highlight w:val="none"/>
        </w:rPr>
      </w:pPr>
      <w:r>
        <w:rPr>
          <w:rFonts w:hint="eastAsia" w:hAnsi="宋体"/>
          <w:sz w:val="24"/>
          <w:highlight w:val="none"/>
        </w:rPr>
        <w:t>编制组</w:t>
      </w:r>
      <w:r>
        <w:rPr>
          <w:rFonts w:hint="eastAsia" w:hAnsi="宋体"/>
          <w:sz w:val="24"/>
          <w:highlight w:val="none"/>
          <w:lang w:eastAsia="zh-CN"/>
        </w:rPr>
        <w:t>组织三门核电</w:t>
      </w:r>
      <w:r>
        <w:rPr>
          <w:rFonts w:hint="eastAsia" w:hAnsi="宋体"/>
          <w:sz w:val="24"/>
          <w:highlight w:val="none"/>
          <w:lang w:val="en-US" w:eastAsia="zh-CN"/>
        </w:rPr>
        <w:t>有限公司</w:t>
      </w:r>
      <w:r>
        <w:rPr>
          <w:rFonts w:hint="eastAsia" w:hAnsi="宋体"/>
          <w:sz w:val="24"/>
          <w:highlight w:val="none"/>
          <w:lang w:eastAsia="zh-CN"/>
        </w:rPr>
        <w:t>、</w:t>
      </w:r>
      <w:r>
        <w:rPr>
          <w:rFonts w:hint="eastAsia" w:hAnsi="宋体"/>
          <w:sz w:val="24"/>
          <w:highlight w:val="none"/>
          <w:lang w:val="en-US" w:eastAsia="zh-CN"/>
        </w:rPr>
        <w:t>田湾</w:t>
      </w:r>
      <w:r>
        <w:rPr>
          <w:rFonts w:hint="eastAsia" w:hAnsi="宋体"/>
          <w:sz w:val="24"/>
          <w:highlight w:val="none"/>
          <w:lang w:eastAsia="zh-CN"/>
        </w:rPr>
        <w:t>核电</w:t>
      </w:r>
      <w:r>
        <w:rPr>
          <w:rFonts w:hint="eastAsia" w:hAnsi="宋体"/>
          <w:sz w:val="24"/>
          <w:highlight w:val="none"/>
          <w:lang w:val="en-US" w:eastAsia="zh-CN"/>
        </w:rPr>
        <w:t>有限公司</w:t>
      </w:r>
      <w:r>
        <w:rPr>
          <w:rFonts w:hint="eastAsia" w:hAnsi="宋体"/>
          <w:sz w:val="24"/>
          <w:highlight w:val="none"/>
          <w:lang w:eastAsia="zh-CN"/>
        </w:rPr>
        <w:t>、</w:t>
      </w:r>
      <w:r>
        <w:rPr>
          <w:rFonts w:hint="eastAsia" w:hAnsi="宋体"/>
          <w:sz w:val="24"/>
          <w:szCs w:val="24"/>
          <w:highlight w:val="none"/>
          <w:vertAlign w:val="baseline"/>
          <w:lang w:val="en-US" w:eastAsia="zh-CN"/>
        </w:rPr>
        <w:t>中国核电工程公司</w:t>
      </w:r>
      <w:r>
        <w:rPr>
          <w:rFonts w:hint="eastAsia" w:hAnsi="宋体"/>
          <w:sz w:val="24"/>
          <w:highlight w:val="none"/>
        </w:rPr>
        <w:t>，根据标准</w:t>
      </w:r>
      <w:r>
        <w:rPr>
          <w:rFonts w:hAnsi="宋体"/>
          <w:sz w:val="24"/>
          <w:highlight w:val="none"/>
        </w:rPr>
        <w:t>推荐方法</w:t>
      </w:r>
      <w:r>
        <w:rPr>
          <w:rFonts w:hint="eastAsia" w:hAnsi="宋体"/>
          <w:sz w:val="24"/>
          <w:highlight w:val="none"/>
        </w:rPr>
        <w:t>，使用</w:t>
      </w:r>
      <w:r>
        <w:rPr>
          <w:rFonts w:hint="eastAsia" w:hAnsi="宋体"/>
          <w:sz w:val="24"/>
          <w:highlight w:val="none"/>
          <w:lang w:val="en-US" w:eastAsia="zh-CN"/>
        </w:rPr>
        <w:t>在线离子色谱仪</w:t>
      </w:r>
      <w:r>
        <w:rPr>
          <w:rFonts w:hAnsi="宋体"/>
          <w:sz w:val="24"/>
          <w:highlight w:val="none"/>
        </w:rPr>
        <w:t>顺利</w:t>
      </w:r>
      <w:r>
        <w:rPr>
          <w:rFonts w:hint="eastAsia" w:hAnsi="宋体"/>
          <w:sz w:val="24"/>
          <w:highlight w:val="none"/>
        </w:rPr>
        <w:t>完成比对试验</w:t>
      </w:r>
      <w:r>
        <w:rPr>
          <w:rFonts w:hint="eastAsia"/>
          <w:highlight w:val="none"/>
        </w:rPr>
        <w:t>。</w:t>
      </w:r>
      <w:r>
        <w:rPr>
          <w:rFonts w:hint="eastAsia" w:hAnsi="宋体"/>
          <w:sz w:val="24"/>
          <w:highlight w:val="none"/>
          <w:lang w:val="en-US" w:eastAsia="zh-CN"/>
        </w:rPr>
        <w:t>青岛盛瀚色谱技术有限公司、上海核工程研究设计院股份有限公司、中国核动力研究设计院、苏州热工研究院有限公司、苍南核电有限公司、中核核电运行管理有限公司、山东核电有限公司、华能昌江核电有限公司对标准开发进行了技术支持。</w:t>
      </w:r>
    </w:p>
    <w:p>
      <w:pPr>
        <w:pStyle w:val="9"/>
        <w:autoSpaceDE w:val="0"/>
        <w:autoSpaceDN w:val="0"/>
        <w:spacing w:line="360" w:lineRule="auto"/>
        <w:ind w:firstLine="480"/>
        <w:textAlignment w:val="center"/>
        <w:rPr>
          <w:rFonts w:hAnsi="宋体"/>
          <w:sz w:val="24"/>
          <w:highlight w:val="none"/>
        </w:rPr>
      </w:pPr>
      <w:r>
        <w:rPr>
          <w:rFonts w:hint="eastAsia" w:hAnsi="宋体"/>
          <w:sz w:val="24"/>
          <w:highlight w:val="none"/>
        </w:rPr>
        <w:t>中国</w:t>
      </w:r>
      <w:r>
        <w:rPr>
          <w:rFonts w:hAnsi="宋体"/>
          <w:sz w:val="24"/>
          <w:highlight w:val="none"/>
        </w:rPr>
        <w:t>核能行业协会</w:t>
      </w:r>
      <w:r>
        <w:rPr>
          <w:rFonts w:hint="eastAsia" w:hAnsi="宋体"/>
          <w:sz w:val="24"/>
          <w:highlight w:val="none"/>
        </w:rPr>
        <w:t>在本</w:t>
      </w:r>
      <w:r>
        <w:rPr>
          <w:rFonts w:hAnsi="宋体"/>
          <w:sz w:val="24"/>
          <w:highlight w:val="none"/>
        </w:rPr>
        <w:t>标准</w:t>
      </w:r>
      <w:r>
        <w:rPr>
          <w:rFonts w:hint="eastAsia" w:hAnsi="宋体"/>
          <w:sz w:val="24"/>
          <w:highlight w:val="none"/>
        </w:rPr>
        <w:t>制定</w:t>
      </w:r>
      <w:r>
        <w:rPr>
          <w:rFonts w:hAnsi="宋体"/>
          <w:sz w:val="24"/>
          <w:highlight w:val="none"/>
        </w:rPr>
        <w:t>过程</w:t>
      </w:r>
      <w:r>
        <w:rPr>
          <w:rFonts w:hint="eastAsia" w:hAnsi="宋体"/>
          <w:sz w:val="24"/>
          <w:highlight w:val="none"/>
        </w:rPr>
        <w:t>提供</w:t>
      </w:r>
      <w:r>
        <w:rPr>
          <w:rFonts w:hAnsi="宋体"/>
          <w:sz w:val="24"/>
          <w:highlight w:val="none"/>
        </w:rPr>
        <w:t>了形式审查</w:t>
      </w:r>
      <w:r>
        <w:rPr>
          <w:rFonts w:hint="eastAsia" w:hAnsi="宋体"/>
          <w:sz w:val="24"/>
          <w:highlight w:val="none"/>
        </w:rPr>
        <w:t>和</w:t>
      </w:r>
      <w:r>
        <w:rPr>
          <w:rFonts w:hAnsi="宋体"/>
          <w:sz w:val="24"/>
          <w:highlight w:val="none"/>
        </w:rPr>
        <w:t>技术指导。</w:t>
      </w:r>
    </w:p>
    <w:p>
      <w:pPr>
        <w:outlineLvl w:val="0"/>
        <w:rPr>
          <w:b/>
          <w:sz w:val="28"/>
          <w:szCs w:val="28"/>
          <w:highlight w:val="none"/>
        </w:rPr>
      </w:pPr>
      <w:r>
        <w:rPr>
          <w:rFonts w:hint="eastAsia"/>
          <w:b/>
          <w:sz w:val="28"/>
          <w:szCs w:val="28"/>
          <w:highlight w:val="none"/>
        </w:rPr>
        <w:t>二、标准编制原则和主要内容</w:t>
      </w:r>
    </w:p>
    <w:p>
      <w:pPr>
        <w:rPr>
          <w:b/>
          <w:highlight w:val="none"/>
        </w:rPr>
      </w:pPr>
      <w:r>
        <w:rPr>
          <w:rFonts w:hint="eastAsia"/>
          <w:b/>
          <w:highlight w:val="none"/>
        </w:rPr>
        <w:t>1、标准编制原则</w:t>
      </w:r>
    </w:p>
    <w:p>
      <w:pPr>
        <w:pStyle w:val="9"/>
        <w:autoSpaceDE w:val="0"/>
        <w:autoSpaceDN w:val="0"/>
        <w:spacing w:line="360" w:lineRule="auto"/>
        <w:ind w:firstLine="480"/>
        <w:textAlignment w:val="center"/>
        <w:rPr>
          <w:rFonts w:hint="eastAsia" w:hAnsi="宋体"/>
          <w:sz w:val="24"/>
          <w:highlight w:val="none"/>
        </w:rPr>
      </w:pPr>
      <w:r>
        <w:rPr>
          <w:rFonts w:hint="eastAsia" w:hAnsi="宋体"/>
          <w:sz w:val="24"/>
          <w:highlight w:val="none"/>
        </w:rPr>
        <w:t>本标准的</w:t>
      </w:r>
      <w:r>
        <w:rPr>
          <w:rFonts w:hint="eastAsia" w:hAnsi="宋体"/>
          <w:sz w:val="24"/>
          <w:highlight w:val="none"/>
          <w:lang w:val="en-US" w:eastAsia="zh-CN"/>
        </w:rPr>
        <w:t>制定针对</w:t>
      </w:r>
      <w:r>
        <w:rPr>
          <w:rFonts w:hint="eastAsia" w:hAnsi="宋体"/>
          <w:sz w:val="24"/>
          <w:highlight w:val="none"/>
        </w:rPr>
        <w:t>一回路</w:t>
      </w:r>
      <w:r>
        <w:rPr>
          <w:rFonts w:hint="eastAsia" w:hAnsi="宋体"/>
          <w:sz w:val="24"/>
          <w:highlight w:val="none"/>
          <w:lang w:val="en-US" w:eastAsia="zh-CN"/>
        </w:rPr>
        <w:t>含硼水中低浓度锌离子检测难题，创新性提出在高硼酸、放射性环境下，</w:t>
      </w:r>
      <w:r>
        <w:rPr>
          <w:rFonts w:hint="eastAsia" w:ascii="Times New Roman" w:hAnsi="宋体" w:eastAsia="宋体" w:cs="Times New Roman"/>
          <w:i w:val="0"/>
          <w:iCs w:val="0"/>
          <w:caps w:val="0"/>
          <w:color w:val="auto"/>
          <w:spacing w:val="0"/>
          <w:sz w:val="24"/>
          <w:szCs w:val="24"/>
          <w:highlight w:val="none"/>
          <w:shd w:val="clear" w:fill="auto"/>
        </w:rPr>
        <w:t>通过离子色谱仪直接电导法结合大体积富集技术实现锌离子的高灵敏度、高选择性检测</w:t>
      </w:r>
      <w:r>
        <w:rPr>
          <w:rFonts w:hint="eastAsia" w:hAnsi="宋体"/>
          <w:sz w:val="24"/>
          <w:highlight w:val="none"/>
          <w:lang w:eastAsia="zh-CN"/>
        </w:rPr>
        <w:t>，</w:t>
      </w:r>
      <w:r>
        <w:rPr>
          <w:rFonts w:hint="eastAsia" w:hAnsi="宋体"/>
          <w:sz w:val="24"/>
          <w:highlight w:val="none"/>
        </w:rPr>
        <w:t>本着先进性、科学性、合理性和可操作性的原则</w:t>
      </w:r>
      <w:r>
        <w:rPr>
          <w:rFonts w:hint="eastAsia" w:hAnsi="宋体"/>
          <w:sz w:val="24"/>
          <w:highlight w:val="none"/>
          <w:lang w:val="en-US" w:eastAsia="zh-CN"/>
        </w:rPr>
        <w:t>进行编制</w:t>
      </w:r>
      <w:r>
        <w:rPr>
          <w:rFonts w:hint="eastAsia" w:hAnsi="宋体"/>
          <w:sz w:val="24"/>
          <w:highlight w:val="none"/>
        </w:rPr>
        <w:t>。</w:t>
      </w:r>
    </w:p>
    <w:p>
      <w:pPr>
        <w:pStyle w:val="9"/>
        <w:autoSpaceDE w:val="0"/>
        <w:autoSpaceDN w:val="0"/>
        <w:spacing w:line="360" w:lineRule="auto"/>
        <w:ind w:firstLine="0" w:firstLineChars="0"/>
        <w:textAlignment w:val="center"/>
        <w:rPr>
          <w:rFonts w:hAnsi="宋体"/>
          <w:sz w:val="24"/>
          <w:highlight w:val="none"/>
        </w:rPr>
      </w:pPr>
      <w:r>
        <w:rPr>
          <w:rFonts w:hint="eastAsia" w:hAnsi="宋体"/>
          <w:sz w:val="24"/>
          <w:highlight w:val="none"/>
        </w:rPr>
        <w:t>（</w:t>
      </w:r>
      <w:r>
        <w:rPr>
          <w:rFonts w:hAnsi="宋体"/>
          <w:sz w:val="24"/>
          <w:highlight w:val="none"/>
        </w:rPr>
        <w:t>1）科学性</w:t>
      </w:r>
    </w:p>
    <w:p>
      <w:pPr>
        <w:pStyle w:val="9"/>
        <w:autoSpaceDE w:val="0"/>
        <w:autoSpaceDN w:val="0"/>
        <w:spacing w:line="360" w:lineRule="auto"/>
        <w:ind w:firstLine="480"/>
        <w:textAlignment w:val="center"/>
        <w:rPr>
          <w:rFonts w:hAnsi="宋体"/>
          <w:sz w:val="24"/>
          <w:highlight w:val="none"/>
        </w:rPr>
      </w:pPr>
      <w:r>
        <w:rPr>
          <w:rFonts w:hint="eastAsia" w:hAnsi="宋体"/>
          <w:sz w:val="24"/>
          <w:highlight w:val="none"/>
        </w:rPr>
        <w:t>本标准在实施了</w:t>
      </w:r>
      <w:r>
        <w:rPr>
          <w:rFonts w:hint="eastAsia" w:hAnsi="宋体"/>
          <w:sz w:val="24"/>
          <w:highlight w:val="none"/>
          <w:lang w:val="en-US" w:eastAsia="zh-CN"/>
        </w:rPr>
        <w:t>在线离子色谱仪</w:t>
      </w:r>
      <w:r>
        <w:rPr>
          <w:rFonts w:hint="eastAsia" w:hAnsi="宋体"/>
          <w:sz w:val="24"/>
          <w:highlight w:val="none"/>
        </w:rPr>
        <w:t>测量含硼水中锌浓度方法的条件</w:t>
      </w:r>
      <w:r>
        <w:rPr>
          <w:rFonts w:hAnsi="宋体"/>
          <w:sz w:val="24"/>
          <w:highlight w:val="none"/>
        </w:rPr>
        <w:t>测试和</w:t>
      </w:r>
      <w:r>
        <w:rPr>
          <w:rFonts w:hint="eastAsia" w:hAnsi="宋体"/>
          <w:sz w:val="24"/>
          <w:highlight w:val="none"/>
        </w:rPr>
        <w:t>多家</w:t>
      </w:r>
      <w:r>
        <w:rPr>
          <w:rFonts w:hAnsi="宋体"/>
          <w:sz w:val="24"/>
          <w:highlight w:val="none"/>
        </w:rPr>
        <w:t>试验室</w:t>
      </w:r>
      <w:r>
        <w:rPr>
          <w:rFonts w:hint="eastAsia" w:hAnsi="宋体"/>
          <w:sz w:val="24"/>
          <w:highlight w:val="none"/>
        </w:rPr>
        <w:t>实测数据验证的</w:t>
      </w:r>
      <w:r>
        <w:rPr>
          <w:rFonts w:hAnsi="宋体"/>
          <w:sz w:val="24"/>
          <w:highlight w:val="none"/>
        </w:rPr>
        <w:t>基础上，</w:t>
      </w:r>
      <w:r>
        <w:rPr>
          <w:rFonts w:hint="eastAsia" w:hAnsi="宋体"/>
          <w:sz w:val="24"/>
          <w:highlight w:val="none"/>
        </w:rPr>
        <w:t>对团体标准进行编写。</w:t>
      </w:r>
    </w:p>
    <w:p>
      <w:pPr>
        <w:pStyle w:val="9"/>
        <w:autoSpaceDE w:val="0"/>
        <w:autoSpaceDN w:val="0"/>
        <w:spacing w:line="360" w:lineRule="auto"/>
        <w:ind w:firstLine="0" w:firstLineChars="0"/>
        <w:textAlignment w:val="center"/>
        <w:rPr>
          <w:rFonts w:hAnsi="宋体"/>
          <w:sz w:val="24"/>
          <w:highlight w:val="none"/>
        </w:rPr>
      </w:pPr>
      <w:r>
        <w:rPr>
          <w:rFonts w:hint="eastAsia" w:hAnsi="宋体"/>
          <w:sz w:val="24"/>
          <w:highlight w:val="none"/>
        </w:rPr>
        <w:t>（</w:t>
      </w:r>
      <w:r>
        <w:rPr>
          <w:rFonts w:hAnsi="宋体"/>
          <w:sz w:val="24"/>
          <w:highlight w:val="none"/>
        </w:rPr>
        <w:t>2）实用性</w:t>
      </w:r>
    </w:p>
    <w:p>
      <w:pPr>
        <w:pStyle w:val="9"/>
        <w:autoSpaceDE w:val="0"/>
        <w:autoSpaceDN w:val="0"/>
        <w:spacing w:line="360" w:lineRule="auto"/>
        <w:ind w:firstLine="480"/>
        <w:textAlignment w:val="center"/>
        <w:rPr>
          <w:rFonts w:hint="eastAsia" w:hAnsi="宋体"/>
          <w:sz w:val="24"/>
          <w:highlight w:val="none"/>
        </w:rPr>
      </w:pPr>
      <w:r>
        <w:rPr>
          <w:rFonts w:hint="eastAsia" w:hAnsi="宋体"/>
          <w:sz w:val="24"/>
          <w:highlight w:val="none"/>
        </w:rPr>
        <w:t>本标准规定了使用</w:t>
      </w:r>
      <w:r>
        <w:rPr>
          <w:rFonts w:hint="eastAsia" w:hAnsi="宋体"/>
          <w:sz w:val="24"/>
          <w:highlight w:val="none"/>
          <w:lang w:val="en-US" w:eastAsia="zh-CN"/>
        </w:rPr>
        <w:t>在线离子色谱仪</w:t>
      </w:r>
      <w:r>
        <w:rPr>
          <w:rFonts w:hAnsi="宋体"/>
          <w:sz w:val="24"/>
          <w:highlight w:val="none"/>
        </w:rPr>
        <w:t>测量含硼水中锌浓度</w:t>
      </w:r>
      <w:r>
        <w:rPr>
          <w:rFonts w:hint="eastAsia" w:hAnsi="宋体"/>
          <w:sz w:val="24"/>
          <w:highlight w:val="none"/>
        </w:rPr>
        <w:t>的全过程，包括标准</w:t>
      </w:r>
      <w:r>
        <w:rPr>
          <w:rFonts w:hAnsi="宋体"/>
          <w:sz w:val="24"/>
          <w:highlight w:val="none"/>
        </w:rPr>
        <w:t>溶液配制、</w:t>
      </w:r>
      <w:r>
        <w:rPr>
          <w:rFonts w:hint="eastAsia" w:hAnsi="宋体"/>
          <w:sz w:val="24"/>
          <w:highlight w:val="none"/>
        </w:rPr>
        <w:t>样品测量、数据处理</w:t>
      </w:r>
      <w:r>
        <w:rPr>
          <w:rFonts w:hAnsi="宋体"/>
          <w:sz w:val="24"/>
          <w:highlight w:val="none"/>
        </w:rPr>
        <w:t>、</w:t>
      </w:r>
      <w:r>
        <w:rPr>
          <w:rFonts w:hint="eastAsia" w:hAnsi="宋体"/>
          <w:sz w:val="24"/>
          <w:highlight w:val="none"/>
        </w:rPr>
        <w:t>准确度评价等环节建立规范，以</w:t>
      </w:r>
      <w:r>
        <w:rPr>
          <w:rFonts w:hAnsi="宋体"/>
          <w:sz w:val="24"/>
          <w:highlight w:val="none"/>
        </w:rPr>
        <w:t>大量验证数据作为依据，</w:t>
      </w:r>
      <w:r>
        <w:rPr>
          <w:rFonts w:hint="eastAsia" w:hAnsi="宋体"/>
          <w:sz w:val="24"/>
          <w:highlight w:val="none"/>
        </w:rPr>
        <w:t>具备科学性、客观性，从而达到准确测量含硼水中锌浓度的目的。</w:t>
      </w:r>
    </w:p>
    <w:p>
      <w:pPr>
        <w:rPr>
          <w:b/>
          <w:highlight w:val="none"/>
        </w:rPr>
      </w:pPr>
      <w:r>
        <w:rPr>
          <w:rFonts w:hint="eastAsia"/>
          <w:b/>
          <w:highlight w:val="none"/>
        </w:rPr>
        <w:t>2、标准主要内容的依据</w:t>
      </w:r>
    </w:p>
    <w:p>
      <w:pPr>
        <w:pStyle w:val="9"/>
        <w:autoSpaceDE w:val="0"/>
        <w:autoSpaceDN w:val="0"/>
        <w:spacing w:line="360" w:lineRule="auto"/>
        <w:ind w:firstLine="480"/>
        <w:textAlignment w:val="center"/>
        <w:rPr>
          <w:rFonts w:hAnsi="宋体"/>
          <w:sz w:val="24"/>
          <w:highlight w:val="none"/>
        </w:rPr>
      </w:pPr>
      <w:r>
        <w:rPr>
          <w:rFonts w:hint="eastAsia" w:hAnsi="宋体"/>
          <w:sz w:val="24"/>
          <w:highlight w:val="none"/>
        </w:rPr>
        <w:t>按</w:t>
      </w:r>
      <w:r>
        <w:rPr>
          <w:rFonts w:hAnsi="宋体"/>
          <w:sz w:val="24"/>
          <w:highlight w:val="none"/>
        </w:rPr>
        <w:t>GB/T 20001.4—2015的规定，确定本标准总体结构如下：</w:t>
      </w:r>
    </w:p>
    <w:p>
      <w:pPr>
        <w:rPr>
          <w:highlight w:val="none"/>
        </w:rPr>
      </w:pPr>
      <w:r>
        <w:rPr>
          <w:rFonts w:hint="eastAsia"/>
          <w:highlight w:val="none"/>
        </w:rPr>
        <w:t>——范围；</w:t>
      </w:r>
    </w:p>
    <w:p>
      <w:pPr>
        <w:rPr>
          <w:highlight w:val="none"/>
        </w:rPr>
      </w:pPr>
      <w:r>
        <w:rPr>
          <w:rFonts w:hint="eastAsia"/>
          <w:highlight w:val="none"/>
        </w:rPr>
        <w:t>——规范性引用文件；</w:t>
      </w:r>
    </w:p>
    <w:p>
      <w:pPr>
        <w:rPr>
          <w:highlight w:val="none"/>
        </w:rPr>
      </w:pPr>
      <w:r>
        <w:rPr>
          <w:rFonts w:hint="eastAsia"/>
          <w:highlight w:val="none"/>
        </w:rPr>
        <w:t>——</w:t>
      </w:r>
      <w:r>
        <w:rPr>
          <w:rFonts w:hint="eastAsia"/>
          <w:highlight w:val="none"/>
          <w:lang w:val="en-US" w:eastAsia="zh-CN"/>
        </w:rPr>
        <w:t>术语和定义</w:t>
      </w:r>
      <w:r>
        <w:rPr>
          <w:rFonts w:hint="eastAsia"/>
          <w:highlight w:val="none"/>
        </w:rPr>
        <w:t>；</w:t>
      </w:r>
    </w:p>
    <w:p>
      <w:pPr>
        <w:rPr>
          <w:highlight w:val="none"/>
        </w:rPr>
      </w:pPr>
      <w:r>
        <w:rPr>
          <w:rFonts w:hint="eastAsia"/>
          <w:highlight w:val="none"/>
        </w:rPr>
        <w:t>——</w:t>
      </w:r>
      <w:r>
        <w:rPr>
          <w:rFonts w:hint="eastAsia"/>
          <w:highlight w:val="none"/>
          <w:lang w:val="en-US" w:eastAsia="zh-CN"/>
        </w:rPr>
        <w:t>原理</w:t>
      </w:r>
      <w:r>
        <w:rPr>
          <w:rFonts w:hint="eastAsia"/>
          <w:highlight w:val="none"/>
        </w:rPr>
        <w:t>；</w:t>
      </w:r>
    </w:p>
    <w:p>
      <w:pPr>
        <w:rPr>
          <w:highlight w:val="none"/>
        </w:rPr>
      </w:pPr>
      <w:r>
        <w:rPr>
          <w:rFonts w:hint="eastAsia"/>
          <w:highlight w:val="none"/>
        </w:rPr>
        <w:t>——</w:t>
      </w:r>
      <w:r>
        <w:rPr>
          <w:rFonts w:hint="eastAsia"/>
          <w:highlight w:val="none"/>
          <w:lang w:val="en-US" w:eastAsia="zh-CN"/>
        </w:rPr>
        <w:t>试剂和材料</w:t>
      </w:r>
      <w:r>
        <w:rPr>
          <w:rFonts w:hint="eastAsia"/>
          <w:highlight w:val="none"/>
        </w:rPr>
        <w:t>；</w:t>
      </w:r>
    </w:p>
    <w:p>
      <w:pPr>
        <w:rPr>
          <w:highlight w:val="none"/>
        </w:rPr>
      </w:pPr>
      <w:r>
        <w:rPr>
          <w:rFonts w:hint="eastAsia"/>
          <w:highlight w:val="none"/>
        </w:rPr>
        <w:t>——</w:t>
      </w:r>
      <w:r>
        <w:rPr>
          <w:rFonts w:hint="eastAsia"/>
          <w:highlight w:val="none"/>
          <w:lang w:val="en-US" w:eastAsia="zh-CN"/>
        </w:rPr>
        <w:t>仪器设备</w:t>
      </w:r>
      <w:r>
        <w:rPr>
          <w:rFonts w:hint="eastAsia"/>
          <w:highlight w:val="none"/>
        </w:rPr>
        <w:t>；</w:t>
      </w:r>
    </w:p>
    <w:p>
      <w:pPr>
        <w:rPr>
          <w:highlight w:val="none"/>
        </w:rPr>
      </w:pPr>
      <w:r>
        <w:rPr>
          <w:rFonts w:hint="eastAsia"/>
          <w:highlight w:val="none"/>
        </w:rPr>
        <w:t>——</w:t>
      </w:r>
      <w:r>
        <w:rPr>
          <w:rFonts w:hint="eastAsia"/>
          <w:highlight w:val="none"/>
          <w:lang w:val="en-US" w:eastAsia="zh-CN"/>
        </w:rPr>
        <w:t>样品</w:t>
      </w:r>
      <w:r>
        <w:rPr>
          <w:rFonts w:hint="eastAsia"/>
          <w:highlight w:val="none"/>
        </w:rPr>
        <w:t>；</w:t>
      </w:r>
    </w:p>
    <w:p>
      <w:pPr>
        <w:rPr>
          <w:highlight w:val="none"/>
        </w:rPr>
      </w:pPr>
      <w:r>
        <w:rPr>
          <w:rFonts w:hint="eastAsia"/>
          <w:highlight w:val="none"/>
        </w:rPr>
        <w:t>——</w:t>
      </w:r>
      <w:r>
        <w:rPr>
          <w:rFonts w:hint="eastAsia"/>
          <w:highlight w:val="none"/>
          <w:lang w:val="en-US" w:eastAsia="zh-CN"/>
        </w:rPr>
        <w:t>分析步骤</w:t>
      </w:r>
      <w:r>
        <w:rPr>
          <w:rFonts w:hint="eastAsia"/>
          <w:highlight w:val="none"/>
        </w:rPr>
        <w:t>；</w:t>
      </w:r>
    </w:p>
    <w:p>
      <w:pPr>
        <w:rPr>
          <w:highlight w:val="none"/>
        </w:rPr>
      </w:pPr>
      <w:r>
        <w:rPr>
          <w:rFonts w:hint="eastAsia"/>
          <w:highlight w:val="none"/>
        </w:rPr>
        <w:t>——</w:t>
      </w:r>
      <w:r>
        <w:rPr>
          <w:rFonts w:hint="eastAsia"/>
          <w:highlight w:val="none"/>
          <w:lang w:val="en-US" w:eastAsia="zh-CN"/>
        </w:rPr>
        <w:t>结果计算</w:t>
      </w:r>
      <w:r>
        <w:rPr>
          <w:rFonts w:hint="eastAsia"/>
          <w:highlight w:val="none"/>
        </w:rPr>
        <w:t>；</w:t>
      </w:r>
    </w:p>
    <w:p>
      <w:pPr>
        <w:rPr>
          <w:highlight w:val="none"/>
        </w:rPr>
      </w:pPr>
      <w:r>
        <w:rPr>
          <w:rFonts w:hint="eastAsia"/>
          <w:highlight w:val="none"/>
        </w:rPr>
        <w:t>——</w:t>
      </w:r>
      <w:r>
        <w:rPr>
          <w:rFonts w:hint="eastAsia"/>
          <w:highlight w:val="none"/>
          <w:lang w:val="en-US" w:eastAsia="zh-CN"/>
        </w:rPr>
        <w:t>精密度</w:t>
      </w:r>
      <w:r>
        <w:rPr>
          <w:rFonts w:hint="eastAsia"/>
          <w:highlight w:val="none"/>
        </w:rPr>
        <w:t>；</w:t>
      </w:r>
    </w:p>
    <w:p>
      <w:pPr>
        <w:rPr>
          <w:highlight w:val="none"/>
        </w:rPr>
      </w:pPr>
      <w:r>
        <w:rPr>
          <w:rFonts w:hint="eastAsia"/>
          <w:highlight w:val="none"/>
        </w:rPr>
        <w:t>——</w:t>
      </w:r>
      <w:r>
        <w:rPr>
          <w:rFonts w:hint="eastAsia"/>
          <w:highlight w:val="none"/>
          <w:lang w:val="en-US" w:eastAsia="zh-CN"/>
        </w:rPr>
        <w:t>质量保证和控制</w:t>
      </w:r>
      <w:r>
        <w:rPr>
          <w:rFonts w:hint="eastAsia"/>
          <w:highlight w:val="none"/>
        </w:rPr>
        <w:t>；</w:t>
      </w:r>
    </w:p>
    <w:p>
      <w:pPr>
        <w:rPr>
          <w:highlight w:val="none"/>
        </w:rPr>
      </w:pPr>
      <w:r>
        <w:rPr>
          <w:rFonts w:hint="eastAsia"/>
          <w:highlight w:val="none"/>
        </w:rPr>
        <w:t>——</w:t>
      </w:r>
      <w:r>
        <w:rPr>
          <w:rFonts w:hint="eastAsia"/>
          <w:highlight w:val="none"/>
          <w:lang w:val="en-US" w:eastAsia="zh-CN"/>
        </w:rPr>
        <w:t>试验报告</w:t>
      </w:r>
      <w:r>
        <w:rPr>
          <w:rFonts w:hint="eastAsia"/>
          <w:highlight w:val="none"/>
        </w:rPr>
        <w:t>。</w:t>
      </w:r>
    </w:p>
    <w:p>
      <w:pPr>
        <w:rPr>
          <w:highlight w:val="none"/>
        </w:rPr>
      </w:pPr>
      <w:r>
        <w:rPr>
          <w:highlight w:val="none"/>
        </w:rPr>
        <w:t>2.1 关于第</w:t>
      </w:r>
      <w:r>
        <w:rPr>
          <w:rFonts w:hint="eastAsia"/>
          <w:highlight w:val="none"/>
          <w:lang w:val="en-US" w:eastAsia="zh-CN"/>
        </w:rPr>
        <w:t>7</w:t>
      </w:r>
      <w:r>
        <w:rPr>
          <w:highlight w:val="none"/>
        </w:rPr>
        <w:t>章内容的说明</w:t>
      </w:r>
    </w:p>
    <w:p>
      <w:pPr>
        <w:pStyle w:val="9"/>
        <w:autoSpaceDE w:val="0"/>
        <w:autoSpaceDN w:val="0"/>
        <w:spacing w:line="360" w:lineRule="auto"/>
        <w:textAlignment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第7章的内容是基于核电站一回路样品带有放射性的特点，给出了放射性样品的储存、转运、分析过程中的防护建议，减少人员在取样、分析过程中接受辐照的风险。</w:t>
      </w:r>
    </w:p>
    <w:p>
      <w:pPr>
        <w:rPr>
          <w:highlight w:val="none"/>
        </w:rPr>
      </w:pPr>
      <w:r>
        <w:rPr>
          <w:highlight w:val="none"/>
        </w:rPr>
        <w:t xml:space="preserve">2.2 关于第8章内容的说明 </w:t>
      </w:r>
    </w:p>
    <w:p>
      <w:pPr>
        <w:pStyle w:val="9"/>
        <w:autoSpaceDE w:val="0"/>
        <w:autoSpaceDN w:val="0"/>
        <w:spacing w:line="360" w:lineRule="auto"/>
        <w:textAlignment w:val="center"/>
        <w:rPr>
          <w:rFonts w:hint="eastAsia"/>
          <w:sz w:val="24"/>
          <w:szCs w:val="32"/>
          <w:highlight w:val="none"/>
          <w:lang w:val="en-US" w:eastAsia="zh-CN"/>
        </w:rPr>
      </w:pPr>
      <w:r>
        <w:rPr>
          <w:rFonts w:hint="eastAsia"/>
          <w:sz w:val="24"/>
          <w:szCs w:val="32"/>
          <w:highlight w:val="none"/>
          <w:lang w:val="en-US" w:eastAsia="zh-CN"/>
        </w:rPr>
        <w:t>第8章的内容是基于国标《GB/T 34672 化学试剂 离子色谱法测定通则》等方法描述，以及对测量过程的仪器设备条件选择、参数设置、干扰消除等进行的验证和优化。</w:t>
      </w:r>
    </w:p>
    <w:p>
      <w:pPr>
        <w:rPr>
          <w:highlight w:val="none"/>
        </w:rPr>
      </w:pPr>
      <w:r>
        <w:rPr>
          <w:highlight w:val="none"/>
        </w:rPr>
        <w:t>2.3 关于第9章内容的说明</w:t>
      </w:r>
    </w:p>
    <w:p>
      <w:pPr>
        <w:pStyle w:val="9"/>
        <w:autoSpaceDE w:val="0"/>
        <w:autoSpaceDN w:val="0"/>
        <w:spacing w:line="360" w:lineRule="auto"/>
        <w:textAlignment w:val="center"/>
        <w:rPr>
          <w:rFonts w:hint="eastAsia"/>
          <w:sz w:val="22"/>
          <w:szCs w:val="28"/>
          <w:highlight w:val="none"/>
          <w:lang w:val="en-US" w:eastAsia="zh-CN"/>
        </w:rPr>
      </w:pPr>
      <w:r>
        <w:rPr>
          <w:rFonts w:hint="eastAsia"/>
          <w:sz w:val="24"/>
          <w:szCs w:val="32"/>
          <w:highlight w:val="none"/>
          <w:lang w:val="en-US" w:eastAsia="zh-CN"/>
        </w:rPr>
        <w:t>第9章的内容是本标准规定的锌离子含量的计算公式。</w:t>
      </w:r>
    </w:p>
    <w:p>
      <w:pPr>
        <w:rPr>
          <w:highlight w:val="none"/>
        </w:rPr>
      </w:pPr>
      <w:r>
        <w:rPr>
          <w:highlight w:val="none"/>
        </w:rPr>
        <w:t>2.4 关于第10章内容的说明</w:t>
      </w:r>
    </w:p>
    <w:p>
      <w:pPr>
        <w:pStyle w:val="9"/>
        <w:autoSpaceDE w:val="0"/>
        <w:autoSpaceDN w:val="0"/>
        <w:spacing w:line="360" w:lineRule="auto"/>
        <w:textAlignment w:val="center"/>
        <w:rPr>
          <w:rFonts w:hint="eastAsia"/>
          <w:sz w:val="24"/>
          <w:szCs w:val="32"/>
          <w:highlight w:val="none"/>
          <w:lang w:val="en-US" w:eastAsia="zh-CN"/>
        </w:rPr>
      </w:pPr>
      <w:r>
        <w:rPr>
          <w:rFonts w:hint="eastAsia"/>
          <w:sz w:val="24"/>
          <w:szCs w:val="32"/>
          <w:highlight w:val="none"/>
          <w:lang w:val="en-US" w:eastAsia="zh-CN"/>
        </w:rPr>
        <w:t>第10章的重复性限是依据在同一实验室由同一操作者使用同一设备按照同一方案，对同一样品进行测试，两次测试的结果差值。再现性限是依据在不同实验室由不同操作者使用不同设备按照同一方案，对同一样品进行测试，两次测试结果的差值。</w:t>
      </w:r>
    </w:p>
    <w:p>
      <w:pPr>
        <w:rPr>
          <w:highlight w:val="none"/>
        </w:rPr>
      </w:pPr>
      <w:r>
        <w:rPr>
          <w:highlight w:val="none"/>
        </w:rPr>
        <w:t>2.5 关于第11章内容的说明</w:t>
      </w:r>
    </w:p>
    <w:p>
      <w:pPr>
        <w:pStyle w:val="9"/>
        <w:autoSpaceDE w:val="0"/>
        <w:autoSpaceDN w:val="0"/>
        <w:spacing w:line="360" w:lineRule="auto"/>
        <w:textAlignment w:val="center"/>
        <w:rPr>
          <w:rFonts w:hint="default"/>
          <w:sz w:val="24"/>
          <w:szCs w:val="32"/>
          <w:highlight w:val="none"/>
          <w:lang w:val="en-US" w:eastAsia="zh-CN"/>
        </w:rPr>
      </w:pPr>
      <w:r>
        <w:rPr>
          <w:rFonts w:hint="eastAsia"/>
          <w:sz w:val="24"/>
          <w:szCs w:val="32"/>
          <w:highlight w:val="none"/>
          <w:lang w:val="en-US" w:eastAsia="zh-CN"/>
        </w:rPr>
        <w:t>第11章内容规定了本标准方法下仪器设备的质量控制要求。</w:t>
      </w:r>
    </w:p>
    <w:p>
      <w:pPr>
        <w:rPr>
          <w:highlight w:val="none"/>
        </w:rPr>
      </w:pPr>
      <w:r>
        <w:rPr>
          <w:highlight w:val="none"/>
        </w:rPr>
        <w:t>2.</w:t>
      </w:r>
      <w:r>
        <w:rPr>
          <w:rFonts w:hint="eastAsia"/>
          <w:highlight w:val="none"/>
          <w:lang w:val="en-US" w:eastAsia="zh-CN"/>
        </w:rPr>
        <w:t>6</w:t>
      </w:r>
      <w:r>
        <w:rPr>
          <w:highlight w:val="none"/>
        </w:rPr>
        <w:t xml:space="preserve"> 关于第1</w:t>
      </w:r>
      <w:r>
        <w:rPr>
          <w:rFonts w:hint="eastAsia"/>
          <w:highlight w:val="none"/>
          <w:lang w:val="en-US" w:eastAsia="zh-CN"/>
        </w:rPr>
        <w:t>2</w:t>
      </w:r>
      <w:r>
        <w:rPr>
          <w:highlight w:val="none"/>
        </w:rPr>
        <w:t>章内容的说明</w:t>
      </w:r>
    </w:p>
    <w:p>
      <w:pPr>
        <w:pStyle w:val="9"/>
        <w:autoSpaceDE w:val="0"/>
        <w:autoSpaceDN w:val="0"/>
        <w:spacing w:line="360" w:lineRule="auto"/>
        <w:textAlignment w:val="center"/>
        <w:rPr>
          <w:rFonts w:hint="default"/>
          <w:highlight w:val="none"/>
          <w:lang w:val="en-US" w:eastAsia="zh-CN"/>
        </w:rPr>
      </w:pPr>
      <w:r>
        <w:rPr>
          <w:rFonts w:hint="eastAsia"/>
          <w:sz w:val="24"/>
          <w:szCs w:val="32"/>
          <w:highlight w:val="none"/>
          <w:lang w:val="en-US" w:eastAsia="zh-CN"/>
        </w:rPr>
        <w:t>第</w:t>
      </w:r>
      <w:r>
        <w:rPr>
          <w:rFonts w:hint="default"/>
          <w:sz w:val="24"/>
          <w:szCs w:val="32"/>
          <w:highlight w:val="none"/>
          <w:lang w:val="en-US" w:eastAsia="zh-CN"/>
        </w:rPr>
        <w:t>1</w:t>
      </w:r>
      <w:r>
        <w:rPr>
          <w:rFonts w:hint="eastAsia"/>
          <w:sz w:val="24"/>
          <w:szCs w:val="32"/>
          <w:highlight w:val="none"/>
          <w:lang w:val="en-US" w:eastAsia="zh-CN"/>
        </w:rPr>
        <w:t>2</w:t>
      </w:r>
      <w:r>
        <w:rPr>
          <w:rFonts w:hint="default"/>
          <w:sz w:val="24"/>
          <w:szCs w:val="32"/>
          <w:highlight w:val="none"/>
          <w:lang w:val="en-US" w:eastAsia="zh-CN"/>
        </w:rPr>
        <w:t>章</w:t>
      </w:r>
      <w:r>
        <w:rPr>
          <w:rFonts w:hint="eastAsia"/>
          <w:sz w:val="24"/>
          <w:szCs w:val="32"/>
          <w:highlight w:val="none"/>
          <w:lang w:val="en-US" w:eastAsia="zh-CN"/>
        </w:rPr>
        <w:t>内容规定了试验报告的标准模板。</w:t>
      </w:r>
    </w:p>
    <w:p>
      <w:pPr>
        <w:rPr>
          <w:b/>
          <w:highlight w:val="none"/>
        </w:rPr>
      </w:pPr>
      <w:r>
        <w:rPr>
          <w:rFonts w:hint="eastAsia"/>
          <w:b/>
          <w:highlight w:val="none"/>
        </w:rPr>
        <w:t>3、解决的主要问题</w:t>
      </w:r>
    </w:p>
    <w:p>
      <w:pPr>
        <w:pStyle w:val="9"/>
        <w:autoSpaceDE w:val="0"/>
        <w:autoSpaceDN w:val="0"/>
        <w:spacing w:line="360" w:lineRule="auto"/>
        <w:textAlignment w:val="center"/>
        <w:rPr>
          <w:rFonts w:hint="eastAsia"/>
          <w:sz w:val="22"/>
          <w:szCs w:val="28"/>
          <w:highlight w:val="none"/>
          <w:lang w:val="en-US" w:eastAsia="zh-CN"/>
        </w:rPr>
      </w:pPr>
      <w:r>
        <w:rPr>
          <w:rFonts w:hint="default"/>
          <w:sz w:val="24"/>
          <w:szCs w:val="32"/>
          <w:highlight w:val="none"/>
          <w:lang w:val="en-US" w:eastAsia="zh-CN"/>
        </w:rPr>
        <w:t>针对核电</w:t>
      </w:r>
      <w:r>
        <w:rPr>
          <w:rFonts w:hint="eastAsia"/>
          <w:sz w:val="24"/>
          <w:szCs w:val="32"/>
          <w:highlight w:val="none"/>
          <w:lang w:val="en-US" w:eastAsia="zh-CN"/>
        </w:rPr>
        <w:t>一回路冷却剂样品</w:t>
      </w:r>
      <w:r>
        <w:rPr>
          <w:rFonts w:hint="default"/>
          <w:sz w:val="24"/>
          <w:szCs w:val="32"/>
          <w:highlight w:val="none"/>
          <w:lang w:val="en-US" w:eastAsia="zh-CN"/>
        </w:rPr>
        <w:t>中放射性高、含高硼酸等特点，优化了样品中放射性物质沉积处理和高硼酸样品分析方法，开发了适用于核电厂一回路冷却剂中锌离子的在线检测技术，采用直接电导法联合在线富集技术，有效排除其他阳离子干扰，确保锌离子的高灵敏度和选择性检测</w:t>
      </w:r>
      <w:r>
        <w:rPr>
          <w:rFonts w:hint="eastAsia"/>
          <w:sz w:val="24"/>
          <w:szCs w:val="32"/>
          <w:highlight w:val="none"/>
          <w:lang w:val="en-US" w:eastAsia="zh-CN"/>
        </w:rPr>
        <w:t>，有效解决了核电厂一回路冷却剂中低浓度锌离子检测难的问题。</w:t>
      </w:r>
    </w:p>
    <w:p>
      <w:pPr>
        <w:outlineLvl w:val="0"/>
        <w:rPr>
          <w:rFonts w:ascii="Times New Roman" w:hAnsi="Times New Roman" w:cs="Times New Roman"/>
          <w:sz w:val="20"/>
          <w:szCs w:val="20"/>
          <w:highlight w:val="none"/>
        </w:rPr>
      </w:pPr>
      <w:r>
        <w:rPr>
          <w:rFonts w:hint="eastAsia"/>
          <w:b/>
          <w:sz w:val="28"/>
          <w:szCs w:val="28"/>
          <w:highlight w:val="none"/>
        </w:rPr>
        <w:t>三、主要试验（或验证）情况</w:t>
      </w:r>
    </w:p>
    <w:p>
      <w:pPr>
        <w:pStyle w:val="8"/>
        <w:widowControl w:val="0"/>
        <w:numPr>
          <w:ilvl w:val="0"/>
          <w:numId w:val="1"/>
        </w:numPr>
        <w:ind w:firstLineChars="0"/>
        <w:jc w:val="both"/>
        <w:rPr>
          <w:rFonts w:ascii="Times New Roman" w:hAnsi="Times New Roman" w:cs="Times New Roman"/>
          <w:vanish/>
          <w:highlight w:val="none"/>
        </w:rPr>
      </w:pPr>
    </w:p>
    <w:p>
      <w:pPr>
        <w:rPr>
          <w:rFonts w:hint="default"/>
          <w:b/>
          <w:highlight w:val="none"/>
          <w:lang w:val="en-US" w:eastAsia="zh-CN"/>
        </w:rPr>
      </w:pPr>
      <w:r>
        <w:rPr>
          <w:rFonts w:hint="eastAsia"/>
          <w:b/>
          <w:highlight w:val="none"/>
          <w:lang w:val="en-US" w:eastAsia="zh-CN"/>
        </w:rPr>
        <w:t>1、柱后衍生法和直接电导法的技术对比</w:t>
      </w:r>
    </w:p>
    <w:p>
      <w:pPr>
        <w:pStyle w:val="9"/>
        <w:autoSpaceDE w:val="0"/>
        <w:autoSpaceDN w:val="0"/>
        <w:spacing w:line="360" w:lineRule="auto"/>
        <w:ind w:firstLine="480"/>
        <w:textAlignment w:val="center"/>
        <w:rPr>
          <w:rFonts w:hint="eastAsia"/>
          <w:sz w:val="24"/>
          <w:szCs w:val="32"/>
          <w:highlight w:val="none"/>
          <w:lang w:val="en-US" w:eastAsia="zh-CN"/>
        </w:rPr>
      </w:pPr>
      <w:r>
        <w:rPr>
          <w:rFonts w:hint="eastAsia"/>
          <w:sz w:val="24"/>
          <w:szCs w:val="32"/>
          <w:highlight w:val="none"/>
          <w:lang w:val="en-US" w:eastAsia="zh-CN"/>
        </w:rPr>
        <w:t xml:space="preserve">锌离子在色谱柱内实现分离后，一般有两种检测方式：柱后衍生法和直接电导法。将目前应用成熟的柱后衍生法与直接电导法定量测定锌离子进行系统对比。 </w:t>
      </w:r>
    </w:p>
    <w:p>
      <w:pPr>
        <w:pStyle w:val="9"/>
        <w:autoSpaceDE w:val="0"/>
        <w:autoSpaceDN w:val="0"/>
        <w:spacing w:line="360" w:lineRule="auto"/>
        <w:textAlignment w:val="center"/>
        <w:rPr>
          <w:rFonts w:hint="eastAsia"/>
          <w:sz w:val="24"/>
          <w:szCs w:val="32"/>
          <w:highlight w:val="none"/>
          <w:lang w:val="en-US" w:eastAsia="zh-CN"/>
        </w:rPr>
      </w:pPr>
      <w:r>
        <w:rPr>
          <w:rFonts w:hint="eastAsia"/>
          <w:sz w:val="24"/>
          <w:szCs w:val="32"/>
          <w:highlight w:val="none"/>
          <w:lang w:val="en-US" w:eastAsia="zh-CN"/>
        </w:rPr>
        <w:t>柱后衍生法是一种在高效液相色谱分析中广泛应用的技术，通过在色谱柱后将样品衍生，从而实现对目标化合物的检测。该方法受制于衍生试剂与样品中待测离子的反应响应，且</w:t>
      </w:r>
      <w:r>
        <w:rPr>
          <w:rFonts w:hint="eastAsia" w:ascii="Times New Roman" w:eastAsia="宋体"/>
          <w:sz w:val="24"/>
          <w:szCs w:val="32"/>
          <w:highlight w:val="none"/>
          <w:lang w:val="en-US" w:eastAsia="zh-CN"/>
        </w:rPr>
        <w:t>需要精确控制衍生试剂的浓度、pH值、流速和反应温度。</w:t>
      </w:r>
    </w:p>
    <w:p>
      <w:pPr>
        <w:pStyle w:val="9"/>
        <w:autoSpaceDE w:val="0"/>
        <w:autoSpaceDN w:val="0"/>
        <w:spacing w:line="360" w:lineRule="auto"/>
        <w:textAlignment w:val="center"/>
        <w:rPr>
          <w:rFonts w:hint="eastAsia"/>
          <w:sz w:val="24"/>
          <w:szCs w:val="32"/>
          <w:highlight w:val="none"/>
        </w:rPr>
      </w:pPr>
      <w:r>
        <w:rPr>
          <w:rFonts w:hint="eastAsia"/>
          <w:sz w:val="24"/>
          <w:szCs w:val="32"/>
          <w:highlight w:val="none"/>
          <w:lang w:val="en-US" w:eastAsia="zh-CN"/>
        </w:rPr>
        <w:t>验证初期，编制组使用柱后衍生法测量锌离子，在确保锌离子和镍离子已分离的前提下，为实现低浓度的锌离子检测，继续优化检测方法。</w:t>
      </w:r>
      <w:r>
        <w:rPr>
          <w:rFonts w:hint="eastAsia"/>
          <w:sz w:val="24"/>
          <w:szCs w:val="32"/>
          <w:highlight w:val="none"/>
        </w:rPr>
        <w:t>由于</w:t>
      </w:r>
      <w:r>
        <w:rPr>
          <w:rFonts w:hint="eastAsia"/>
          <w:sz w:val="24"/>
          <w:szCs w:val="32"/>
          <w:highlight w:val="none"/>
          <w:lang w:val="en-US" w:eastAsia="zh-CN"/>
        </w:rPr>
        <w:t>衍生试剂4-(2-吡啶偶氮)间苯二酚（后文简称</w:t>
      </w:r>
      <w:r>
        <w:rPr>
          <w:rFonts w:hint="eastAsia"/>
          <w:sz w:val="24"/>
          <w:szCs w:val="32"/>
          <w:highlight w:val="none"/>
        </w:rPr>
        <w:t>PAR</w:t>
      </w:r>
      <w:r>
        <w:rPr>
          <w:rFonts w:hint="eastAsia"/>
          <w:sz w:val="24"/>
          <w:szCs w:val="32"/>
          <w:highlight w:val="none"/>
          <w:lang w:eastAsia="zh-CN"/>
        </w:rPr>
        <w:t>）</w:t>
      </w:r>
      <w:r>
        <w:rPr>
          <w:rFonts w:hint="eastAsia"/>
          <w:sz w:val="24"/>
          <w:szCs w:val="32"/>
          <w:highlight w:val="none"/>
        </w:rPr>
        <w:t>颜色较深，在过量的情况下有较高的背景值，影响响应值的变化，因此需要在满足衍生反应彻底</w:t>
      </w:r>
      <w:r>
        <w:rPr>
          <w:rFonts w:hint="eastAsia"/>
          <w:sz w:val="24"/>
          <w:szCs w:val="32"/>
          <w:highlight w:val="none"/>
          <w:lang w:val="en-US" w:eastAsia="zh-CN"/>
        </w:rPr>
        <w:t>的</w:t>
      </w:r>
      <w:r>
        <w:rPr>
          <w:rFonts w:hint="eastAsia"/>
          <w:sz w:val="24"/>
          <w:szCs w:val="32"/>
          <w:highlight w:val="none"/>
        </w:rPr>
        <w:t>前提</w:t>
      </w:r>
      <w:r>
        <w:rPr>
          <w:rFonts w:hint="eastAsia"/>
          <w:sz w:val="24"/>
          <w:szCs w:val="32"/>
          <w:highlight w:val="none"/>
          <w:lang w:val="en-US" w:eastAsia="zh-CN"/>
        </w:rPr>
        <w:t>下</w:t>
      </w:r>
      <w:r>
        <w:rPr>
          <w:rFonts w:hint="eastAsia"/>
          <w:sz w:val="24"/>
          <w:szCs w:val="32"/>
          <w:highlight w:val="none"/>
          <w:lang w:eastAsia="zh-CN"/>
        </w:rPr>
        <w:t>，</w:t>
      </w:r>
      <w:r>
        <w:rPr>
          <w:rFonts w:hint="eastAsia"/>
          <w:sz w:val="24"/>
          <w:szCs w:val="32"/>
          <w:highlight w:val="none"/>
        </w:rPr>
        <w:t>尽可能减少PAR的用量，</w:t>
      </w:r>
      <w:r>
        <w:rPr>
          <w:rFonts w:hint="eastAsia"/>
          <w:sz w:val="24"/>
          <w:szCs w:val="32"/>
          <w:highlight w:val="none"/>
          <w:lang w:val="en-US" w:eastAsia="zh-CN"/>
        </w:rPr>
        <w:t>试</w:t>
      </w:r>
      <w:r>
        <w:rPr>
          <w:rFonts w:hint="eastAsia"/>
          <w:sz w:val="24"/>
          <w:szCs w:val="32"/>
          <w:highlight w:val="none"/>
        </w:rPr>
        <w:t>验时</w:t>
      </w:r>
      <w:r>
        <w:rPr>
          <w:rFonts w:hint="eastAsia"/>
          <w:sz w:val="24"/>
          <w:szCs w:val="32"/>
          <w:highlight w:val="none"/>
          <w:lang w:val="en-US" w:eastAsia="zh-CN"/>
        </w:rPr>
        <w:t>需要</w:t>
      </w:r>
      <w:r>
        <w:rPr>
          <w:rFonts w:hint="eastAsia"/>
          <w:sz w:val="24"/>
          <w:szCs w:val="32"/>
          <w:highlight w:val="none"/>
        </w:rPr>
        <w:t>根据实际工况下锌离子的检出浓度范围，不断优化调整PAR的浓度。</w:t>
      </w:r>
    </w:p>
    <w:p>
      <w:pPr>
        <w:pStyle w:val="9"/>
        <w:autoSpaceDE w:val="0"/>
        <w:autoSpaceDN w:val="0"/>
        <w:spacing w:line="360" w:lineRule="auto"/>
        <w:textAlignment w:val="center"/>
        <w:rPr>
          <w:rFonts w:hint="eastAsia"/>
          <w:sz w:val="24"/>
          <w:szCs w:val="32"/>
          <w:highlight w:val="none"/>
          <w:lang w:val="en-US" w:eastAsia="zh-CN"/>
        </w:rPr>
      </w:pPr>
      <w:r>
        <w:rPr>
          <w:rFonts w:hint="eastAsia"/>
          <w:sz w:val="24"/>
          <w:szCs w:val="32"/>
          <w:highlight w:val="none"/>
          <w:lang w:val="en-US" w:eastAsia="zh-CN"/>
        </w:rPr>
        <w:t>直接电导法是一种通过测量溶液中电导值来定量样品中的离子浓度的方法，是一种简单快速的方法，同时也具有选择性差，无法区分特定离子的缺点。因此，在测试初期，编制组测试了实际样品中常规阳离子（锂、铵、钾、镁、钙等）与锌离子的干扰情况，验证发现几种常规阳离子对锌离子的响应无干扰，而镍离子可以通过调整淋洗液浓度实现分离。</w:t>
      </w:r>
    </w:p>
    <w:p>
      <w:pPr>
        <w:pStyle w:val="9"/>
        <w:autoSpaceDE w:val="0"/>
        <w:autoSpaceDN w:val="0"/>
        <w:spacing w:line="360" w:lineRule="auto"/>
        <w:textAlignment w:val="center"/>
        <w:rPr>
          <w:rFonts w:hint="eastAsia"/>
          <w:sz w:val="22"/>
          <w:szCs w:val="28"/>
          <w:highlight w:val="none"/>
          <w:lang w:val="en-US" w:eastAsia="zh-CN"/>
        </w:rPr>
      </w:pPr>
      <w:r>
        <w:rPr>
          <w:rFonts w:hint="eastAsia"/>
          <w:sz w:val="24"/>
          <w:szCs w:val="32"/>
          <w:highlight w:val="none"/>
          <w:lang w:val="en-US" w:eastAsia="zh-CN"/>
        </w:rPr>
        <w:t>综上所述，本标准所建立的直接电导法检测方式旨在提供一种简便快速的替代方案。在需要快速分析、在线监测的场景下，直接电导法优势明显。</w:t>
      </w:r>
    </w:p>
    <w:p>
      <w:pPr>
        <w:rPr>
          <w:rFonts w:hint="default"/>
          <w:b/>
          <w:highlight w:val="none"/>
          <w:lang w:val="en-US" w:eastAsia="zh-CN"/>
        </w:rPr>
      </w:pPr>
      <w:r>
        <w:rPr>
          <w:rFonts w:hint="eastAsia"/>
          <w:b/>
          <w:highlight w:val="none"/>
          <w:lang w:val="en-US" w:eastAsia="zh-CN"/>
        </w:rPr>
        <w:t>2、条件优化</w:t>
      </w:r>
    </w:p>
    <w:p>
      <w:pPr>
        <w:pStyle w:val="9"/>
        <w:autoSpaceDE w:val="0"/>
        <w:autoSpaceDN w:val="0"/>
        <w:spacing w:line="360" w:lineRule="auto"/>
        <w:textAlignment w:val="center"/>
        <w:rPr>
          <w:rFonts w:hint="eastAsia"/>
          <w:sz w:val="24"/>
          <w:szCs w:val="24"/>
          <w:highlight w:val="none"/>
        </w:rPr>
      </w:pPr>
      <w:r>
        <w:rPr>
          <w:rFonts w:hint="eastAsia"/>
          <w:sz w:val="24"/>
          <w:szCs w:val="24"/>
          <w:highlight w:val="none"/>
          <w:lang w:val="en-US" w:eastAsia="zh-CN"/>
        </w:rPr>
        <w:t>编制组通过</w:t>
      </w:r>
      <w:r>
        <w:rPr>
          <w:rFonts w:hint="eastAsia"/>
          <w:sz w:val="24"/>
          <w:szCs w:val="24"/>
          <w:highlight w:val="none"/>
        </w:rPr>
        <w:t>初期测试</w:t>
      </w:r>
      <w:r>
        <w:rPr>
          <w:rFonts w:hint="eastAsia"/>
          <w:sz w:val="24"/>
          <w:szCs w:val="24"/>
          <w:highlight w:val="none"/>
          <w:lang w:val="en-US" w:eastAsia="zh-CN"/>
        </w:rPr>
        <w:t>发现</w:t>
      </w:r>
      <w:r>
        <w:rPr>
          <w:rFonts w:hint="eastAsia"/>
          <w:sz w:val="24"/>
          <w:szCs w:val="24"/>
          <w:highlight w:val="none"/>
        </w:rPr>
        <w:t>，在常规淋洗液条件下，</w:t>
      </w:r>
      <w:r>
        <w:rPr>
          <w:rFonts w:hint="default" w:ascii="Times New Roman" w:hAnsi="Times New Roman" w:cs="Times New Roman"/>
          <w:sz w:val="24"/>
          <w:szCs w:val="24"/>
          <w:highlight w:val="none"/>
        </w:rPr>
        <w:t>Zn²⁺与Ni²⁺的出峰时间重合，无法分离。通过系统调整淋洗液的浓度和pH值，成功实现了Zn²⁺与Ni²⁺</w:t>
      </w:r>
      <w:r>
        <w:rPr>
          <w:rFonts w:hint="eastAsia"/>
          <w:sz w:val="24"/>
          <w:szCs w:val="24"/>
          <w:highlight w:val="none"/>
        </w:rPr>
        <w:t>的基线分离，证明了通过优化色谱</w:t>
      </w:r>
      <w:r>
        <w:rPr>
          <w:rFonts w:hint="eastAsia"/>
          <w:sz w:val="24"/>
          <w:szCs w:val="24"/>
          <w:highlight w:val="none"/>
          <w:lang w:val="en-US" w:eastAsia="zh-CN"/>
        </w:rPr>
        <w:t>柱淋洗</w:t>
      </w:r>
      <w:r>
        <w:rPr>
          <w:rFonts w:hint="eastAsia"/>
          <w:sz w:val="24"/>
          <w:szCs w:val="24"/>
          <w:highlight w:val="none"/>
        </w:rPr>
        <w:t xml:space="preserve">条件克服直接电导法选择性难题的可行性。 </w:t>
      </w:r>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编制组通过验证无干扰后，确定最优淋洗条件为：淋洗液使用</w:t>
      </w:r>
      <w:r>
        <w:rPr>
          <w:rFonts w:hint="eastAsia"/>
          <w:sz w:val="24"/>
          <w:szCs w:val="24"/>
          <w:highlight w:val="none"/>
        </w:rPr>
        <w:t>2.5mM甲烷磺酸+0.8mM草酸溶液</w:t>
      </w:r>
      <w:r>
        <w:rPr>
          <w:rFonts w:hint="eastAsia"/>
          <w:sz w:val="24"/>
          <w:szCs w:val="24"/>
          <w:highlight w:val="none"/>
          <w:lang w:val="en-US" w:eastAsia="zh-CN"/>
        </w:rPr>
        <w:t>。</w:t>
      </w:r>
    </w:p>
    <w:p>
      <w:pPr>
        <w:pStyle w:val="9"/>
        <w:autoSpaceDE w:val="0"/>
        <w:autoSpaceDN w:val="0"/>
        <w:spacing w:line="360" w:lineRule="auto"/>
        <w:textAlignment w:val="center"/>
        <w:rPr>
          <w:rFonts w:hint="default"/>
          <w:sz w:val="24"/>
          <w:szCs w:val="24"/>
          <w:highlight w:val="none"/>
          <w:lang w:val="en-US" w:eastAsia="zh-CN"/>
        </w:rPr>
      </w:pPr>
      <w:r>
        <w:rPr>
          <w:rFonts w:hint="eastAsia"/>
          <w:sz w:val="24"/>
          <w:szCs w:val="24"/>
          <w:highlight w:val="none"/>
          <w:lang w:val="en-US" w:eastAsia="zh-CN"/>
        </w:rPr>
        <w:t>在确保锌离子和镍离子分离的前提下，优化条件，降低锌离子检测限，以满足一回路冷却剂中低浓度锌离子的检测要求。</w:t>
      </w:r>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编制组首先通过优化进样体积、富集进样的方式进行验证。</w:t>
      </w:r>
    </w:p>
    <w:p>
      <w:pPr>
        <w:pStyle w:val="9"/>
        <w:autoSpaceDE w:val="0"/>
        <w:autoSpaceDN w:val="0"/>
        <w:spacing w:line="360" w:lineRule="auto"/>
        <w:textAlignment w:val="center"/>
        <w:rPr>
          <w:rFonts w:hint="eastAsia"/>
          <w:sz w:val="24"/>
          <w:szCs w:val="24"/>
          <w:lang w:val="en-US" w:eastAsia="zh-CN"/>
        </w:rPr>
      </w:pPr>
      <w:r>
        <w:rPr>
          <w:rFonts w:hint="eastAsia"/>
          <w:sz w:val="24"/>
          <w:szCs w:val="24"/>
          <w:highlight w:val="none"/>
        </w:rPr>
        <w:t>使用100</w:t>
      </w:r>
      <w:r>
        <w:rPr>
          <w:rFonts w:hint="default" w:ascii="Times New Roman" w:hAnsi="Times New Roman" w:cs="Times New Roman"/>
          <w:sz w:val="24"/>
          <w:szCs w:val="24"/>
          <w:highlight w:val="none"/>
        </w:rPr>
        <w:t>μL</w:t>
      </w:r>
      <w:r>
        <w:rPr>
          <w:rFonts w:hint="eastAsia"/>
          <w:sz w:val="24"/>
          <w:szCs w:val="24"/>
          <w:highlight w:val="none"/>
        </w:rPr>
        <w:t>定量环</w:t>
      </w:r>
      <w:r>
        <w:rPr>
          <w:rFonts w:hint="eastAsia"/>
          <w:sz w:val="24"/>
          <w:szCs w:val="24"/>
          <w:highlight w:val="none"/>
          <w:lang w:val="en-US" w:eastAsia="zh-CN"/>
        </w:rPr>
        <w:t>试验</w:t>
      </w:r>
      <w:r>
        <w:rPr>
          <w:rFonts w:hint="eastAsia"/>
          <w:sz w:val="24"/>
          <w:szCs w:val="24"/>
          <w:highlight w:val="none"/>
        </w:rPr>
        <w:t>，10</w:t>
      </w:r>
      <w:r>
        <w:rPr>
          <w:rFonts w:hint="eastAsia" w:cs="Times New Roman"/>
          <w:sz w:val="24"/>
          <w:szCs w:val="24"/>
          <w:highlight w:val="none"/>
          <w:lang w:eastAsia="zh-CN"/>
        </w:rPr>
        <w:t>μg/L</w:t>
      </w:r>
      <w:r>
        <w:rPr>
          <w:rFonts w:hint="eastAsia"/>
          <w:sz w:val="24"/>
          <w:szCs w:val="24"/>
          <w:highlight w:val="none"/>
        </w:rPr>
        <w:t>的</w:t>
      </w:r>
      <w:r>
        <w:rPr>
          <w:rFonts w:hint="default" w:ascii="Times New Roman" w:hAnsi="Times New Roman" w:cs="Times New Roman"/>
          <w:sz w:val="24"/>
          <w:szCs w:val="24"/>
          <w:highlight w:val="none"/>
        </w:rPr>
        <w:t>Zn²⁺</w:t>
      </w:r>
      <w:r>
        <w:rPr>
          <w:rFonts w:hint="eastAsia" w:cs="Times New Roman"/>
          <w:sz w:val="24"/>
          <w:szCs w:val="24"/>
          <w:highlight w:val="none"/>
          <w:lang w:val="en-US" w:eastAsia="zh-CN"/>
        </w:rPr>
        <w:t>测量谱图如下图1所示</w:t>
      </w:r>
      <w:r>
        <w:rPr>
          <w:rFonts w:hint="eastAsia" w:cs="Times New Roman"/>
          <w:sz w:val="24"/>
          <w:szCs w:val="24"/>
          <w:highlight w:val="none"/>
          <w:lang w:eastAsia="zh-CN"/>
        </w:rPr>
        <w:t>，</w:t>
      </w:r>
      <w:r>
        <w:rPr>
          <w:rFonts w:hint="eastAsia" w:cs="Times New Roman"/>
          <w:sz w:val="24"/>
          <w:szCs w:val="24"/>
          <w:highlight w:val="none"/>
          <w:lang w:val="en-US" w:eastAsia="zh-CN"/>
        </w:rPr>
        <w:t>可见锌</w:t>
      </w:r>
      <w:r>
        <w:rPr>
          <w:rFonts w:hint="eastAsia"/>
          <w:sz w:val="24"/>
          <w:szCs w:val="24"/>
          <w:highlight w:val="none"/>
        </w:rPr>
        <w:t>无法有效出峰</w:t>
      </w:r>
      <w:r>
        <w:rPr>
          <w:rFonts w:hint="eastAsia"/>
          <w:sz w:val="24"/>
          <w:szCs w:val="24"/>
          <w:highlight w:val="none"/>
          <w:lang w:eastAsia="zh-CN"/>
        </w:rPr>
        <w:t>，</w:t>
      </w:r>
      <w:r>
        <w:rPr>
          <w:rFonts w:hint="eastAsia"/>
          <w:sz w:val="24"/>
          <w:szCs w:val="24"/>
          <w:highlight w:val="none"/>
          <w:lang w:val="en-US" w:eastAsia="zh-CN"/>
        </w:rPr>
        <w:t>继续增大进样体积验证</w:t>
      </w:r>
      <w:r>
        <w:rPr>
          <w:rFonts w:hint="eastAsia"/>
          <w:sz w:val="24"/>
          <w:szCs w:val="24"/>
          <w:highlight w:val="none"/>
        </w:rPr>
        <w:t>。</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textAlignment w:val="center"/>
      </w:pPr>
      <w:r>
        <w:rPr>
          <w:rFonts w:hint="eastAsia"/>
          <w:sz w:val="24"/>
          <w:szCs w:val="24"/>
          <w:lang w:val="en-US" w:eastAsia="zh-CN"/>
        </w:rPr>
        <w:drawing>
          <wp:inline distT="0" distB="0" distL="114300" distR="114300">
            <wp:extent cx="5270500" cy="1864360"/>
            <wp:effectExtent l="0" t="0" r="6350" b="2540"/>
            <wp:docPr id="2" name="图片 2" descr="792ea5e8ced738541048eb8612a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92ea5e8ced738541048eb8612a214d"/>
                    <pic:cNvPicPr>
                      <a:picLocks noChangeAspect="1"/>
                    </pic:cNvPicPr>
                  </pic:nvPicPr>
                  <pic:blipFill>
                    <a:blip r:embed="rId6"/>
                    <a:stretch>
                      <a:fillRect/>
                    </a:stretch>
                  </pic:blipFill>
                  <pic:spPr>
                    <a:xfrm>
                      <a:off x="0" y="0"/>
                      <a:ext cx="5270500" cy="1864360"/>
                    </a:xfrm>
                    <a:prstGeom prst="rect">
                      <a:avLst/>
                    </a:prstGeom>
                  </pic:spPr>
                </pic:pic>
              </a:graphicData>
            </a:graphic>
          </wp:inline>
        </w:drawing>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eastAsia="宋体"/>
          <w:lang w:val="en-US" w:eastAsia="zh-CN"/>
        </w:rPr>
      </w:pPr>
      <w:r>
        <w:rPr>
          <w:rFonts w:hint="eastAsia"/>
          <w:sz w:val="24"/>
          <w:lang w:val="en-US" w:eastAsia="zh-CN"/>
        </w:rPr>
        <w:t>图1 100</w:t>
      </w:r>
      <w:r>
        <w:rPr>
          <w:rFonts w:hint="default" w:ascii="Times New Roman" w:hAnsi="Times New Roman" w:cs="Times New Roman"/>
          <w:sz w:val="24"/>
          <w:szCs w:val="24"/>
          <w:highlight w:val="none"/>
        </w:rPr>
        <w:t>μL</w:t>
      </w:r>
      <w:r>
        <w:rPr>
          <w:rFonts w:hint="eastAsia"/>
          <w:sz w:val="24"/>
          <w:szCs w:val="24"/>
          <w:highlight w:val="none"/>
        </w:rPr>
        <w:t>定量环</w:t>
      </w:r>
      <w:r>
        <w:rPr>
          <w:rFonts w:hint="eastAsia"/>
          <w:sz w:val="24"/>
          <w:szCs w:val="24"/>
          <w:highlight w:val="none"/>
          <w:lang w:val="en-US" w:eastAsia="zh-CN"/>
        </w:rPr>
        <w:t>进样测量</w:t>
      </w:r>
      <w:r>
        <w:rPr>
          <w:rFonts w:hint="eastAsia"/>
          <w:sz w:val="24"/>
          <w:szCs w:val="24"/>
          <w:highlight w:val="none"/>
        </w:rPr>
        <w:t>10</w:t>
      </w:r>
      <w:r>
        <w:rPr>
          <w:rFonts w:hint="eastAsia" w:cs="Times New Roman"/>
          <w:sz w:val="24"/>
          <w:szCs w:val="24"/>
          <w:highlight w:val="none"/>
          <w:lang w:eastAsia="zh-CN"/>
        </w:rPr>
        <w:t>μg/L</w:t>
      </w:r>
      <w:r>
        <w:rPr>
          <w:rFonts w:hint="eastAsia"/>
          <w:sz w:val="24"/>
          <w:szCs w:val="24"/>
          <w:highlight w:val="none"/>
          <w:lang w:val="en-US" w:eastAsia="zh-CN"/>
        </w:rPr>
        <w:t>锌</w:t>
      </w:r>
      <w:r>
        <w:rPr>
          <w:rFonts w:hint="eastAsia" w:cs="Times New Roman"/>
          <w:sz w:val="24"/>
          <w:szCs w:val="24"/>
          <w:highlight w:val="none"/>
          <w:lang w:val="en-US" w:eastAsia="zh-CN"/>
        </w:rPr>
        <w:t>标准溶液的谱图</w:t>
      </w:r>
    </w:p>
    <w:p>
      <w:pPr>
        <w:pStyle w:val="9"/>
        <w:keepNext w:val="0"/>
        <w:keepLines w:val="0"/>
        <w:pageBreakBefore w:val="0"/>
        <w:widowControl w:val="0"/>
        <w:kinsoku/>
        <w:wordWrap/>
        <w:overflowPunct/>
        <w:topLinePunct w:val="0"/>
        <w:autoSpaceDE w:val="0"/>
        <w:autoSpaceDN w:val="0"/>
        <w:bidi w:val="0"/>
        <w:adjustRightInd/>
        <w:snapToGrid/>
        <w:spacing w:line="360" w:lineRule="auto"/>
        <w:textAlignment w:val="center"/>
        <w:rPr>
          <w:rFonts w:hint="eastAsia"/>
          <w:sz w:val="24"/>
          <w:szCs w:val="24"/>
          <w:lang w:eastAsia="zh-CN"/>
        </w:rPr>
      </w:pPr>
      <w:r>
        <w:rPr>
          <w:rFonts w:hint="eastAsia"/>
          <w:sz w:val="24"/>
          <w:szCs w:val="24"/>
          <w:highlight w:val="none"/>
          <w:lang w:val="en-US" w:eastAsia="zh-CN"/>
        </w:rPr>
        <w:t>使用</w:t>
      </w:r>
      <w:r>
        <w:rPr>
          <w:rFonts w:hint="eastAsia"/>
          <w:sz w:val="24"/>
          <w:szCs w:val="24"/>
          <w:highlight w:val="none"/>
        </w:rPr>
        <w:t>1000</w:t>
      </w:r>
      <w:r>
        <w:rPr>
          <w:rFonts w:hint="default"/>
          <w:sz w:val="24"/>
          <w:szCs w:val="24"/>
          <w:highlight w:val="none"/>
        </w:rPr>
        <w:t>μL</w:t>
      </w:r>
      <w:r>
        <w:rPr>
          <w:rFonts w:hint="eastAsia"/>
          <w:sz w:val="24"/>
          <w:szCs w:val="24"/>
          <w:highlight w:val="none"/>
        </w:rPr>
        <w:t>定量环并优化淋洗液后，在10-1000</w:t>
      </w:r>
      <w:r>
        <w:rPr>
          <w:rFonts w:hint="eastAsia"/>
          <w:sz w:val="24"/>
          <w:szCs w:val="24"/>
          <w:highlight w:val="none"/>
          <w:lang w:eastAsia="zh-CN"/>
        </w:rPr>
        <w:t>μg/L</w:t>
      </w:r>
      <w:r>
        <w:rPr>
          <w:rFonts w:hint="eastAsia"/>
          <w:sz w:val="24"/>
          <w:szCs w:val="24"/>
          <w:highlight w:val="none"/>
        </w:rPr>
        <w:t>浓度范围内，校准曲线的线性回归系数达到0.999，表明该方法在较宽浓度范围内具有良好的线性关系。</w:t>
      </w:r>
    </w:p>
    <w:p>
      <w:pPr>
        <w:pStyle w:val="9"/>
        <w:keepNext w:val="0"/>
        <w:keepLines w:val="0"/>
        <w:pageBreakBefore w:val="0"/>
        <w:widowControl w:val="0"/>
        <w:kinsoku/>
        <w:wordWrap/>
        <w:overflowPunct/>
        <w:topLinePunct w:val="0"/>
        <w:autoSpaceDE w:val="0"/>
        <w:autoSpaceDN w:val="0"/>
        <w:bidi w:val="0"/>
        <w:adjustRightInd/>
        <w:snapToGrid/>
        <w:spacing w:line="360" w:lineRule="auto"/>
        <w:textAlignment w:val="center"/>
        <w:rPr>
          <w:rFonts w:hint="eastAsia"/>
          <w:sz w:val="24"/>
          <w:szCs w:val="24"/>
          <w:highlight w:val="none"/>
        </w:rPr>
      </w:pPr>
      <w:r>
        <w:rPr>
          <w:rFonts w:hint="eastAsia"/>
          <w:sz w:val="24"/>
          <w:szCs w:val="24"/>
          <w:highlight w:val="none"/>
        </w:rPr>
        <w:t>进一步使用2000</w:t>
      </w:r>
      <w:r>
        <w:rPr>
          <w:rFonts w:hint="default"/>
          <w:sz w:val="24"/>
          <w:szCs w:val="24"/>
          <w:highlight w:val="none"/>
        </w:rPr>
        <w:t>μL</w:t>
      </w:r>
      <w:r>
        <w:rPr>
          <w:rFonts w:hint="eastAsia"/>
          <w:sz w:val="24"/>
          <w:szCs w:val="24"/>
          <w:highlight w:val="none"/>
        </w:rPr>
        <w:t>定量环</w:t>
      </w:r>
      <w:r>
        <w:rPr>
          <w:rFonts w:hint="eastAsia"/>
          <w:sz w:val="24"/>
          <w:szCs w:val="24"/>
          <w:highlight w:val="none"/>
          <w:lang w:val="en-US" w:eastAsia="zh-CN"/>
        </w:rPr>
        <w:t>验证</w:t>
      </w:r>
      <w:r>
        <w:rPr>
          <w:rFonts w:hint="eastAsia"/>
          <w:sz w:val="24"/>
          <w:szCs w:val="24"/>
          <w:highlight w:val="none"/>
        </w:rPr>
        <w:t>，</w:t>
      </w:r>
      <w:r>
        <w:rPr>
          <w:rFonts w:hint="eastAsia"/>
          <w:sz w:val="24"/>
          <w:szCs w:val="24"/>
          <w:highlight w:val="none"/>
          <w:lang w:val="en-US" w:eastAsia="zh-CN"/>
        </w:rPr>
        <w:t>可以</w:t>
      </w:r>
      <w:r>
        <w:rPr>
          <w:rFonts w:hint="eastAsia"/>
          <w:sz w:val="24"/>
          <w:szCs w:val="24"/>
          <w:highlight w:val="none"/>
        </w:rPr>
        <w:t>实现对3</w:t>
      </w:r>
      <w:r>
        <w:rPr>
          <w:rFonts w:hint="eastAsia"/>
          <w:sz w:val="24"/>
          <w:szCs w:val="24"/>
          <w:highlight w:val="none"/>
          <w:lang w:val="en-US" w:eastAsia="zh-CN"/>
        </w:rPr>
        <w:t>.00</w:t>
      </w:r>
      <w:r>
        <w:rPr>
          <w:rFonts w:hint="eastAsia"/>
          <w:sz w:val="24"/>
          <w:szCs w:val="24"/>
          <w:highlight w:val="none"/>
          <w:lang w:eastAsia="zh-CN"/>
        </w:rPr>
        <w:t>μg/L</w:t>
      </w:r>
      <w:r>
        <w:rPr>
          <w:rFonts w:hint="eastAsia"/>
          <w:sz w:val="24"/>
          <w:szCs w:val="24"/>
          <w:highlight w:val="none"/>
        </w:rPr>
        <w:t xml:space="preserve"> </w:t>
      </w:r>
      <w:r>
        <w:rPr>
          <w:rFonts w:hint="default"/>
          <w:sz w:val="24"/>
          <w:szCs w:val="24"/>
          <w:highlight w:val="none"/>
        </w:rPr>
        <w:t>Zn²⁺</w:t>
      </w:r>
      <w:r>
        <w:rPr>
          <w:rFonts w:hint="eastAsia"/>
          <w:sz w:val="24"/>
          <w:szCs w:val="24"/>
          <w:highlight w:val="none"/>
        </w:rPr>
        <w:t>的检出，</w:t>
      </w:r>
      <w:r>
        <w:rPr>
          <w:rFonts w:hint="eastAsia"/>
          <w:sz w:val="24"/>
          <w:szCs w:val="24"/>
          <w:highlight w:val="none"/>
          <w:lang w:val="en-US" w:eastAsia="zh-CN"/>
        </w:rPr>
        <w:t>但出峰情况不稳定，见图2。</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textAlignment w:val="center"/>
        <w:rPr>
          <w:rFonts w:hint="eastAsia" w:eastAsiaTheme="minorEastAsia"/>
          <w:lang w:eastAsia="zh-CN"/>
        </w:rPr>
      </w:pPr>
      <w:r>
        <w:rPr>
          <w:rFonts w:hint="eastAsia" w:eastAsiaTheme="minorEastAsia"/>
          <w:lang w:eastAsia="zh-CN"/>
        </w:rPr>
        <w:drawing>
          <wp:inline distT="0" distB="0" distL="114300" distR="114300">
            <wp:extent cx="5250815" cy="2072005"/>
            <wp:effectExtent l="0" t="0" r="6985" b="4445"/>
            <wp:docPr id="6" name="图片 6" descr="52b7c0317ff71b14e6071fa65bf4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2b7c0317ff71b14e6071fa65bf4494"/>
                    <pic:cNvPicPr>
                      <a:picLocks noChangeAspect="1"/>
                    </pic:cNvPicPr>
                  </pic:nvPicPr>
                  <pic:blipFill>
                    <a:blip r:embed="rId7"/>
                    <a:stretch>
                      <a:fillRect/>
                    </a:stretch>
                  </pic:blipFill>
                  <pic:spPr>
                    <a:xfrm>
                      <a:off x="0" y="0"/>
                      <a:ext cx="5250815" cy="2072005"/>
                    </a:xfrm>
                    <a:prstGeom prst="rect">
                      <a:avLst/>
                    </a:prstGeom>
                  </pic:spPr>
                </pic:pic>
              </a:graphicData>
            </a:graphic>
          </wp:inline>
        </w:drawing>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eastAsiaTheme="minorEastAsia"/>
          <w:sz w:val="24"/>
          <w:lang w:val="en-US" w:eastAsia="zh-CN"/>
        </w:rPr>
      </w:pPr>
      <w:r>
        <w:rPr>
          <w:rFonts w:hint="eastAsia"/>
          <w:sz w:val="24"/>
          <w:lang w:val="en-US" w:eastAsia="zh-CN"/>
        </w:rPr>
        <w:t>图2 2000</w:t>
      </w:r>
      <w:r>
        <w:rPr>
          <w:rFonts w:hint="default" w:ascii="Times New Roman" w:hAnsi="Times New Roman" w:cs="Times New Roman"/>
          <w:sz w:val="24"/>
          <w:szCs w:val="24"/>
          <w:highlight w:val="none"/>
        </w:rPr>
        <w:t>μL</w:t>
      </w:r>
      <w:r>
        <w:rPr>
          <w:rFonts w:hint="eastAsia"/>
          <w:sz w:val="24"/>
          <w:szCs w:val="24"/>
          <w:highlight w:val="none"/>
        </w:rPr>
        <w:t>定量环</w:t>
      </w:r>
      <w:r>
        <w:rPr>
          <w:rFonts w:hint="eastAsia"/>
          <w:sz w:val="24"/>
          <w:szCs w:val="24"/>
          <w:highlight w:val="none"/>
          <w:lang w:val="en-US" w:eastAsia="zh-CN"/>
        </w:rPr>
        <w:t>进样测量3</w:t>
      </w:r>
      <w:r>
        <w:rPr>
          <w:rFonts w:hint="eastAsia" w:cs="Times New Roman"/>
          <w:sz w:val="24"/>
          <w:szCs w:val="24"/>
          <w:highlight w:val="none"/>
          <w:lang w:eastAsia="zh-CN"/>
        </w:rPr>
        <w:t>μg/L</w:t>
      </w:r>
      <w:r>
        <w:rPr>
          <w:rFonts w:hint="eastAsia"/>
          <w:sz w:val="24"/>
          <w:szCs w:val="24"/>
          <w:highlight w:val="none"/>
          <w:lang w:val="en-US" w:eastAsia="zh-CN"/>
        </w:rPr>
        <w:t>锌</w:t>
      </w:r>
      <w:r>
        <w:rPr>
          <w:rFonts w:hint="eastAsia" w:cs="Times New Roman"/>
          <w:sz w:val="24"/>
          <w:szCs w:val="24"/>
          <w:highlight w:val="none"/>
          <w:lang w:val="en-US" w:eastAsia="zh-CN"/>
        </w:rPr>
        <w:t>标准溶液的谱图</w:t>
      </w:r>
    </w:p>
    <w:p>
      <w:pPr>
        <w:pStyle w:val="9"/>
        <w:keepNext w:val="0"/>
        <w:keepLines w:val="0"/>
        <w:pageBreakBefore w:val="0"/>
        <w:widowControl w:val="0"/>
        <w:kinsoku/>
        <w:wordWrap/>
        <w:overflowPunct/>
        <w:topLinePunct w:val="0"/>
        <w:autoSpaceDE w:val="0"/>
        <w:autoSpaceDN w:val="0"/>
        <w:bidi w:val="0"/>
        <w:adjustRightInd/>
        <w:snapToGrid/>
        <w:spacing w:line="360" w:lineRule="auto"/>
        <w:textAlignment w:val="center"/>
        <w:rPr>
          <w:rFonts w:hint="eastAsia"/>
          <w:sz w:val="24"/>
          <w:szCs w:val="24"/>
          <w:highlight w:val="none"/>
          <w:lang w:val="en-US" w:eastAsia="zh-CN"/>
        </w:rPr>
      </w:pPr>
      <w:r>
        <w:rPr>
          <w:rFonts w:hint="eastAsia"/>
          <w:sz w:val="22"/>
          <w:szCs w:val="28"/>
          <w:highlight w:val="none"/>
        </w:rPr>
        <w:t xml:space="preserve"> </w:t>
      </w:r>
      <w:r>
        <w:rPr>
          <w:rFonts w:hint="eastAsia"/>
          <w:sz w:val="24"/>
          <w:szCs w:val="24"/>
          <w:highlight w:val="none"/>
          <w:lang w:val="en-US" w:eastAsia="zh-CN"/>
        </w:rPr>
        <w:t>为了进一步降低检测限，确保低浓度锌离子稳定出峰，普通定量环检测限已无法达到要求，通过大进样量富集后测试，使用富集柱将进样量提高至20mL，谱图见图3。可以发现3</w:t>
      </w:r>
      <w:r>
        <w:rPr>
          <w:rFonts w:hint="eastAsia" w:cs="Times New Roman"/>
          <w:sz w:val="24"/>
          <w:szCs w:val="24"/>
          <w:highlight w:val="none"/>
          <w:lang w:eastAsia="zh-CN"/>
        </w:rPr>
        <w:t>μg/L</w:t>
      </w:r>
      <w:r>
        <w:rPr>
          <w:rFonts w:hint="eastAsia" w:cs="Times New Roman"/>
          <w:sz w:val="24"/>
          <w:szCs w:val="24"/>
          <w:highlight w:val="none"/>
          <w:lang w:val="en-US" w:eastAsia="zh-CN"/>
        </w:rPr>
        <w:t>的</w:t>
      </w:r>
      <w:r>
        <w:rPr>
          <w:rFonts w:hint="eastAsia"/>
          <w:sz w:val="24"/>
          <w:szCs w:val="24"/>
          <w:highlight w:val="none"/>
          <w:lang w:val="en-US" w:eastAsia="zh-CN"/>
        </w:rPr>
        <w:t>锌、镍出峰很明显，峰形较好，满足定量分析需求。</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textAlignment w:val="center"/>
        <w:rPr>
          <w:rFonts w:hint="default"/>
          <w:sz w:val="24"/>
          <w:szCs w:val="24"/>
          <w:highlight w:val="none"/>
          <w:lang w:val="en-US" w:eastAsia="zh-CN"/>
        </w:rPr>
      </w:pPr>
      <w:r>
        <w:rPr>
          <w:rFonts w:hint="default"/>
          <w:sz w:val="24"/>
          <w:szCs w:val="24"/>
          <w:highlight w:val="none"/>
          <w:lang w:val="en-US" w:eastAsia="zh-CN"/>
        </w:rPr>
        <w:drawing>
          <wp:inline distT="0" distB="0" distL="114300" distR="114300">
            <wp:extent cx="5203825" cy="1183005"/>
            <wp:effectExtent l="0" t="0" r="15875" b="17145"/>
            <wp:docPr id="1" name="图片 1" descr="mmexport176767877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767678773062"/>
                    <pic:cNvPicPr>
                      <a:picLocks noChangeAspect="1"/>
                    </pic:cNvPicPr>
                  </pic:nvPicPr>
                  <pic:blipFill>
                    <a:blip r:embed="rId8"/>
                    <a:srcRect l="747" t="14345" r="458"/>
                    <a:stretch>
                      <a:fillRect/>
                    </a:stretch>
                  </pic:blipFill>
                  <pic:spPr>
                    <a:xfrm>
                      <a:off x="0" y="0"/>
                      <a:ext cx="5203825" cy="1183005"/>
                    </a:xfrm>
                    <a:prstGeom prst="rect">
                      <a:avLst/>
                    </a:prstGeom>
                  </pic:spPr>
                </pic:pic>
              </a:graphicData>
            </a:graphic>
          </wp:inline>
        </w:drawing>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highlight w:val="none"/>
          <w:lang w:val="en-US" w:eastAsia="zh-CN"/>
        </w:rPr>
      </w:pPr>
      <w:r>
        <w:rPr>
          <w:rFonts w:hint="eastAsia"/>
          <w:lang w:val="en-US" w:eastAsia="zh-CN"/>
        </w:rPr>
        <w:t>图</w:t>
      </w:r>
      <w:r>
        <w:rPr>
          <w:rFonts w:hint="eastAsia"/>
          <w:sz w:val="24"/>
          <w:highlight w:val="none"/>
          <w:lang w:val="en-US" w:eastAsia="zh-CN"/>
        </w:rPr>
        <w:t>3 富集柱20mL进样</w:t>
      </w:r>
      <w:r>
        <w:rPr>
          <w:rFonts w:hint="eastAsia"/>
          <w:sz w:val="24"/>
          <w:szCs w:val="24"/>
          <w:highlight w:val="none"/>
          <w:lang w:val="en-US" w:eastAsia="zh-CN"/>
        </w:rPr>
        <w:t>测量3</w:t>
      </w:r>
      <w:r>
        <w:rPr>
          <w:rFonts w:hint="eastAsia" w:cs="Times New Roman"/>
          <w:sz w:val="24"/>
          <w:szCs w:val="24"/>
          <w:highlight w:val="none"/>
          <w:lang w:eastAsia="zh-CN"/>
        </w:rPr>
        <w:t>μg/L</w:t>
      </w:r>
      <w:r>
        <w:rPr>
          <w:rFonts w:hint="eastAsia"/>
          <w:sz w:val="24"/>
          <w:szCs w:val="24"/>
          <w:highlight w:val="none"/>
          <w:lang w:val="en-US" w:eastAsia="zh-CN"/>
        </w:rPr>
        <w:t>锌</w:t>
      </w:r>
      <w:r>
        <w:rPr>
          <w:rFonts w:hint="eastAsia" w:cs="Times New Roman"/>
          <w:sz w:val="24"/>
          <w:szCs w:val="24"/>
          <w:highlight w:val="none"/>
          <w:lang w:val="en-US" w:eastAsia="zh-CN"/>
        </w:rPr>
        <w:t>标准溶液的谱图</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center"/>
        <w:rPr>
          <w:rFonts w:hint="default" w:cs="Times New Roman"/>
          <w:sz w:val="24"/>
          <w:szCs w:val="24"/>
          <w:highlight w:val="none"/>
          <w:lang w:val="en-US" w:eastAsia="zh-CN"/>
        </w:rPr>
      </w:pPr>
      <w:r>
        <w:rPr>
          <w:rFonts w:hint="eastAsia" w:cs="Times New Roman"/>
          <w:sz w:val="24"/>
          <w:szCs w:val="24"/>
          <w:highlight w:val="none"/>
          <w:lang w:val="en-US" w:eastAsia="zh-CN"/>
        </w:rPr>
        <w:t>由上可知，使用富集柱实现大体积进样可以</w:t>
      </w:r>
      <w:r>
        <w:rPr>
          <w:rFonts w:hint="eastAsia"/>
          <w:sz w:val="24"/>
          <w:szCs w:val="24"/>
          <w:highlight w:val="none"/>
        </w:rPr>
        <w:t>有效满足低浓度检测需求</w:t>
      </w:r>
      <w:r>
        <w:rPr>
          <w:rFonts w:hint="eastAsia"/>
          <w:sz w:val="24"/>
          <w:szCs w:val="24"/>
          <w:highlight w:val="none"/>
          <w:lang w:eastAsia="zh-CN"/>
        </w:rPr>
        <w:t>，</w:t>
      </w:r>
      <w:r>
        <w:rPr>
          <w:rFonts w:hint="eastAsia"/>
          <w:sz w:val="24"/>
          <w:szCs w:val="24"/>
          <w:highlight w:val="none"/>
          <w:lang w:val="en-US" w:eastAsia="zh-CN"/>
        </w:rPr>
        <w:t>实现低浓度锌离子的稳定出峰。</w:t>
      </w:r>
    </w:p>
    <w:p>
      <w:pPr>
        <w:pStyle w:val="9"/>
        <w:autoSpaceDE w:val="0"/>
        <w:autoSpaceDN w:val="0"/>
        <w:spacing w:line="360" w:lineRule="auto"/>
        <w:ind w:firstLine="480"/>
        <w:jc w:val="left"/>
        <w:textAlignment w:val="center"/>
        <w:rPr>
          <w:rFonts w:hint="eastAsia" w:cs="Times New Roman"/>
          <w:sz w:val="24"/>
          <w:szCs w:val="24"/>
          <w:highlight w:val="none"/>
          <w:lang w:eastAsia="zh-CN"/>
        </w:rPr>
      </w:pPr>
      <w:r>
        <w:rPr>
          <w:rFonts w:hint="eastAsia"/>
          <w:sz w:val="24"/>
          <w:szCs w:val="24"/>
          <w:highlight w:val="none"/>
          <w:lang w:val="en-US" w:eastAsia="zh-CN"/>
        </w:rPr>
        <w:t>经验证，最终确定的分析方法为：</w:t>
      </w:r>
    </w:p>
    <w:p>
      <w:pPr>
        <w:pStyle w:val="9"/>
        <w:autoSpaceDE w:val="0"/>
        <w:autoSpaceDN w:val="0"/>
        <w:spacing w:line="360" w:lineRule="auto"/>
        <w:ind w:firstLine="480"/>
        <w:jc w:val="left"/>
        <w:textAlignment w:val="center"/>
        <w:rPr>
          <w:rFonts w:hint="eastAsia" w:cs="Times New Roman"/>
          <w:sz w:val="24"/>
          <w:szCs w:val="24"/>
          <w:highlight w:val="none"/>
          <w:lang w:eastAsia="zh-CN"/>
        </w:rPr>
      </w:pPr>
      <w:r>
        <w:rPr>
          <w:rFonts w:hint="eastAsia"/>
          <w:sz w:val="24"/>
          <w:szCs w:val="24"/>
          <w:highlight w:val="none"/>
          <w:lang w:val="en-US" w:eastAsia="zh-CN"/>
        </w:rPr>
        <w:t>淋洗液：2.5 mM甲烷磺酸+0.8 mM草酸；</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淋洗液流速：1.0mL/min；</w:t>
      </w:r>
    </w:p>
    <w:p>
      <w:pPr>
        <w:pStyle w:val="9"/>
        <w:autoSpaceDE w:val="0"/>
        <w:autoSpaceDN w:val="0"/>
        <w:spacing w:line="360" w:lineRule="auto"/>
        <w:ind w:firstLine="480"/>
        <w:jc w:val="left"/>
        <w:textAlignment w:val="center"/>
        <w:rPr>
          <w:rFonts w:hint="default"/>
          <w:sz w:val="24"/>
          <w:szCs w:val="24"/>
          <w:highlight w:val="none"/>
          <w:lang w:val="en-US" w:eastAsia="zh-CN"/>
        </w:rPr>
      </w:pPr>
      <w:r>
        <w:rPr>
          <w:rFonts w:hint="eastAsia"/>
          <w:sz w:val="24"/>
          <w:szCs w:val="24"/>
          <w:highlight w:val="none"/>
          <w:lang w:val="en-US" w:eastAsia="zh-CN"/>
        </w:rPr>
        <w:t>柱温、池温：35</w:t>
      </w:r>
      <w:r>
        <w:rPr>
          <w:rFonts w:hint="default"/>
          <w:sz w:val="24"/>
          <w:szCs w:val="24"/>
          <w:highlight w:val="none"/>
          <w:lang w:val="en-US" w:eastAsia="zh-CN"/>
        </w:rPr>
        <w:t>℃</w:t>
      </w:r>
      <w:r>
        <w:rPr>
          <w:rFonts w:hint="eastAsia"/>
          <w:sz w:val="24"/>
          <w:szCs w:val="24"/>
          <w:highlight w:val="none"/>
          <w:lang w:val="en-US" w:eastAsia="zh-CN"/>
        </w:rPr>
        <w:t>；</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色谱柱：SH-NC-2；</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富集柱：SH-NC-2E；</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检测器：电导检测器；</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进样泵流速：2.0mL/min；</w:t>
      </w:r>
    </w:p>
    <w:p>
      <w:pPr>
        <w:pStyle w:val="9"/>
        <w:autoSpaceDE w:val="0"/>
        <w:autoSpaceDN w:val="0"/>
        <w:spacing w:line="360" w:lineRule="auto"/>
        <w:ind w:firstLine="480"/>
        <w:jc w:val="left"/>
        <w:textAlignment w:val="center"/>
        <w:rPr>
          <w:rFonts w:hint="eastAsia"/>
          <w:sz w:val="24"/>
          <w:szCs w:val="24"/>
          <w:highlight w:val="none"/>
          <w:lang w:val="en-US" w:eastAsia="zh-CN"/>
        </w:rPr>
      </w:pPr>
      <w:r>
        <w:rPr>
          <w:rFonts w:hint="eastAsia"/>
          <w:sz w:val="24"/>
          <w:szCs w:val="24"/>
          <w:highlight w:val="none"/>
          <w:lang w:val="en-US" w:eastAsia="zh-CN"/>
        </w:rPr>
        <w:t>富集时间：10min；</w:t>
      </w:r>
    </w:p>
    <w:p>
      <w:pPr>
        <w:pStyle w:val="9"/>
        <w:autoSpaceDE w:val="0"/>
        <w:autoSpaceDN w:val="0"/>
        <w:spacing w:line="360" w:lineRule="auto"/>
        <w:ind w:firstLine="480"/>
        <w:jc w:val="left"/>
        <w:textAlignment w:val="center"/>
        <w:rPr>
          <w:rFonts w:hint="default"/>
          <w:sz w:val="24"/>
          <w:szCs w:val="24"/>
          <w:highlight w:val="none"/>
          <w:lang w:val="en-US" w:eastAsia="zh-CN"/>
        </w:rPr>
      </w:pPr>
      <w:r>
        <w:rPr>
          <w:rFonts w:hint="eastAsia"/>
          <w:sz w:val="24"/>
          <w:szCs w:val="24"/>
          <w:highlight w:val="none"/>
          <w:lang w:val="en-US" w:eastAsia="zh-CN"/>
        </w:rPr>
        <w:t>进样量：20mL。</w:t>
      </w:r>
    </w:p>
    <w:p>
      <w:pPr>
        <w:pStyle w:val="9"/>
        <w:autoSpaceDE w:val="0"/>
        <w:autoSpaceDN w:val="0"/>
        <w:spacing w:line="360" w:lineRule="auto"/>
        <w:ind w:left="0" w:leftChars="0" w:firstLine="480" w:firstLineChars="0"/>
        <w:jc w:val="left"/>
        <w:textAlignment w:val="center"/>
        <w:rPr>
          <w:rFonts w:hint="default"/>
          <w:sz w:val="24"/>
          <w:szCs w:val="24"/>
          <w:highlight w:val="none"/>
          <w:lang w:val="en-US" w:eastAsia="zh-CN"/>
        </w:rPr>
      </w:pPr>
      <w:r>
        <w:rPr>
          <w:rFonts w:hint="eastAsia"/>
          <w:sz w:val="24"/>
          <w:szCs w:val="24"/>
          <w:highlight w:val="none"/>
          <w:lang w:val="en-US" w:eastAsia="zh-CN"/>
        </w:rPr>
        <w:t>进样模式为富集进样，首先六通阀切到排废位置，进样泵运行4min，目的是将管路中液体替换成测试样品，然后六通阀切到富集位置，以2.0mL/min的流速富集10min后，切阀进行分析。</w:t>
      </w:r>
    </w:p>
    <w:p>
      <w:pPr>
        <w:pStyle w:val="8"/>
        <w:widowControl w:val="0"/>
        <w:numPr>
          <w:ilvl w:val="0"/>
          <w:numId w:val="2"/>
        </w:numPr>
        <w:ind w:left="0" w:firstLine="0" w:firstLineChars="0"/>
        <w:jc w:val="both"/>
        <w:rPr>
          <w:rFonts w:ascii="Times New Roman" w:hAnsi="Times New Roman" w:cs="Times New Roman"/>
          <w:b/>
          <w:bCs/>
        </w:rPr>
      </w:pPr>
      <w:r>
        <w:rPr>
          <w:rFonts w:hint="eastAsia" w:ascii="Times New Roman" w:hAnsi="Times New Roman" w:cs="Times New Roman"/>
          <w:b/>
          <w:bCs/>
          <w:lang w:val="en-US" w:eastAsia="zh-CN"/>
        </w:rPr>
        <w:t>精密度</w:t>
      </w:r>
      <w:r>
        <w:rPr>
          <w:rFonts w:ascii="Times New Roman" w:hAnsi="Times New Roman" w:cs="Times New Roman"/>
          <w:b/>
          <w:bCs/>
        </w:rPr>
        <w:t>试验</w:t>
      </w:r>
    </w:p>
    <w:p>
      <w:pPr>
        <w:pStyle w:val="9"/>
        <w:autoSpaceDE w:val="0"/>
        <w:autoSpaceDN w:val="0"/>
        <w:spacing w:line="360" w:lineRule="auto"/>
        <w:textAlignment w:val="center"/>
        <w:rPr>
          <w:rFonts w:hint="eastAsia" w:ascii="Times New Roman" w:hAnsi="Times New Roman" w:cs="Times New Roman"/>
          <w:sz w:val="24"/>
          <w:szCs w:val="24"/>
        </w:rPr>
      </w:pPr>
      <w:r>
        <w:rPr>
          <w:rFonts w:hint="eastAsia" w:ascii="Times New Roman" w:hAnsi="Times New Roman" w:cs="Times New Roman"/>
          <w:sz w:val="24"/>
          <w:szCs w:val="24"/>
        </w:rPr>
        <w:t>通过联系与沟通，三门核电实验室、</w:t>
      </w:r>
      <w:r>
        <w:rPr>
          <w:rFonts w:hint="eastAsia" w:cs="Times New Roman"/>
          <w:sz w:val="24"/>
          <w:szCs w:val="24"/>
          <w:lang w:val="en-US" w:eastAsia="zh-CN"/>
        </w:rPr>
        <w:t>田湾</w:t>
      </w:r>
      <w:r>
        <w:rPr>
          <w:rFonts w:hint="eastAsia" w:ascii="Times New Roman" w:hAnsi="Times New Roman" w:cs="Times New Roman"/>
          <w:sz w:val="24"/>
          <w:szCs w:val="24"/>
        </w:rPr>
        <w:t>核电实验室与</w:t>
      </w:r>
      <w:r>
        <w:rPr>
          <w:rFonts w:hint="eastAsia"/>
          <w:sz w:val="24"/>
          <w:szCs w:val="24"/>
          <w:vertAlign w:val="baseline"/>
          <w:lang w:val="en-US" w:eastAsia="zh-CN"/>
        </w:rPr>
        <w:t>中国核电工程实验室</w:t>
      </w:r>
      <w:r>
        <w:rPr>
          <w:rFonts w:hint="eastAsia" w:ascii="Times New Roman" w:hAnsi="Times New Roman" w:cs="Times New Roman"/>
          <w:sz w:val="24"/>
          <w:szCs w:val="24"/>
        </w:rPr>
        <w:t>三家单位进行了</w:t>
      </w:r>
      <w:r>
        <w:rPr>
          <w:rFonts w:hint="eastAsia" w:cs="Times New Roman"/>
          <w:sz w:val="24"/>
          <w:szCs w:val="24"/>
          <w:lang w:val="en-US" w:eastAsia="zh-CN"/>
        </w:rPr>
        <w:t>本</w:t>
      </w:r>
      <w:r>
        <w:rPr>
          <w:rFonts w:hint="eastAsia" w:ascii="Times New Roman" w:hAnsi="Times New Roman" w:cs="Times New Roman"/>
          <w:sz w:val="24"/>
          <w:szCs w:val="24"/>
        </w:rPr>
        <w:t>方法的比对试验工作。</w:t>
      </w:r>
    </w:p>
    <w:p>
      <w:pPr>
        <w:pStyle w:val="9"/>
        <w:autoSpaceDE w:val="0"/>
        <w:autoSpaceDN w:val="0"/>
        <w:spacing w:line="360" w:lineRule="auto"/>
        <w:textAlignment w:val="center"/>
        <w:rPr>
          <w:rFonts w:hint="eastAsia" w:ascii="Times New Roman" w:hAnsi="Times New Roman" w:cs="Times New Roman"/>
          <w:sz w:val="24"/>
          <w:szCs w:val="24"/>
        </w:rPr>
      </w:pPr>
      <w:r>
        <w:rPr>
          <w:rFonts w:hint="eastAsia" w:ascii="Times New Roman" w:hAnsi="Times New Roman" w:cs="Times New Roman"/>
          <w:sz w:val="24"/>
          <w:szCs w:val="24"/>
        </w:rPr>
        <w:t>在同一实验室，同一实验者以同一台仪器分析</w:t>
      </w:r>
      <w:r>
        <w:rPr>
          <w:rFonts w:hint="eastAsia" w:cs="Times New Roman"/>
          <w:sz w:val="24"/>
          <w:szCs w:val="24"/>
          <w:lang w:val="en-US" w:eastAsia="zh-CN"/>
        </w:rPr>
        <w:t>15.00</w:t>
      </w:r>
      <w:r>
        <w:rPr>
          <w:rFonts w:hint="eastAsia" w:cs="Times New Roman"/>
          <w:sz w:val="24"/>
          <w:szCs w:val="24"/>
          <w:lang w:eastAsia="zh-CN"/>
        </w:rPr>
        <w:t>μg/L</w:t>
      </w:r>
      <w:r>
        <w:rPr>
          <w:rFonts w:hint="eastAsia" w:cs="Times New Roman"/>
          <w:sz w:val="24"/>
          <w:szCs w:val="24"/>
          <w:lang w:val="en-US" w:eastAsia="zh-CN"/>
        </w:rPr>
        <w:t>的锌标准溶液7次</w:t>
      </w:r>
      <w:r>
        <w:rPr>
          <w:rFonts w:hint="eastAsia" w:ascii="Times New Roman" w:hAnsi="Times New Roman" w:cs="Times New Roman"/>
          <w:sz w:val="24"/>
          <w:szCs w:val="24"/>
        </w:rPr>
        <w:t>，计算</w:t>
      </w:r>
      <w:r>
        <w:rPr>
          <w:rFonts w:hint="eastAsia" w:cs="Times New Roman"/>
          <w:sz w:val="24"/>
          <w:szCs w:val="24"/>
          <w:lang w:val="en-US" w:eastAsia="zh-CN"/>
        </w:rPr>
        <w:t>本方法精密度</w:t>
      </w:r>
      <w:r>
        <w:rPr>
          <w:rFonts w:hint="eastAsia" w:ascii="Times New Roman" w:hAnsi="Times New Roman" w:cs="Times New Roman"/>
          <w:sz w:val="24"/>
          <w:szCs w:val="24"/>
        </w:rPr>
        <w:t>。</w:t>
      </w:r>
    </w:p>
    <w:p>
      <w:pPr>
        <w:pStyle w:val="9"/>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jc w:val="left"/>
        <w:textAlignment w:val="center"/>
        <w:rPr>
          <w:rFonts w:hint="default" w:cs="Times New Roman"/>
          <w:sz w:val="24"/>
          <w:szCs w:val="24"/>
          <w:lang w:val="en-US" w:eastAsia="zh-CN"/>
        </w:rPr>
      </w:pPr>
      <w:r>
        <w:rPr>
          <w:rFonts w:hint="eastAsia" w:cs="Times New Roman"/>
          <w:sz w:val="24"/>
          <w:szCs w:val="24"/>
          <w:lang w:val="en-US" w:eastAsia="zh-CN"/>
        </w:rPr>
        <w:t>比对试验结果如下：</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center"/>
        <w:textAlignment w:val="center"/>
        <w:rPr>
          <w:rFonts w:hint="default" w:cs="Times New Roman"/>
          <w:sz w:val="24"/>
          <w:szCs w:val="24"/>
          <w:lang w:val="en-US" w:eastAsia="zh-CN"/>
        </w:rPr>
      </w:pPr>
      <w:r>
        <w:rPr>
          <w:rFonts w:hint="eastAsia" w:cs="Times New Roman"/>
          <w:sz w:val="24"/>
          <w:szCs w:val="24"/>
          <w:lang w:val="en-US" w:eastAsia="zh-CN"/>
        </w:rPr>
        <w:t>表1 各实验室精密度试验结果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2067"/>
        <w:gridCol w:w="1927"/>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jc w:val="center"/>
              <w:textAlignment w:val="center"/>
              <w:rPr>
                <w:rFonts w:hint="eastAsia" w:cs="Times New Roman"/>
                <w:sz w:val="24"/>
                <w:szCs w:val="24"/>
                <w:vertAlign w:val="baseline"/>
                <w:lang w:val="en-US" w:eastAsia="zh-CN"/>
              </w:rPr>
            </w:pP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center"/>
              <w:rPr>
                <w:rFonts w:hint="eastAsia" w:cs="Times New Roman"/>
                <w:sz w:val="24"/>
                <w:szCs w:val="24"/>
                <w:vertAlign w:val="baseline"/>
                <w:lang w:val="en-US" w:eastAsia="zh-CN"/>
              </w:rPr>
            </w:pPr>
            <w:r>
              <w:rPr>
                <w:rFonts w:hint="eastAsia"/>
                <w:sz w:val="22"/>
                <w:szCs w:val="22"/>
                <w:vertAlign w:val="baseline"/>
                <w:lang w:val="en-US" w:eastAsia="zh-CN"/>
              </w:rPr>
              <w:t>三门核电实验室</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center"/>
              <w:rPr>
                <w:rFonts w:hint="eastAsia" w:cs="Times New Roman"/>
                <w:sz w:val="24"/>
                <w:szCs w:val="24"/>
                <w:vertAlign w:val="baseline"/>
                <w:lang w:val="en-US" w:eastAsia="zh-CN"/>
              </w:rPr>
            </w:pPr>
            <w:r>
              <w:rPr>
                <w:rFonts w:hint="eastAsia"/>
                <w:sz w:val="22"/>
                <w:szCs w:val="22"/>
                <w:vertAlign w:val="baseline"/>
                <w:lang w:val="en-US" w:eastAsia="zh-CN"/>
              </w:rPr>
              <w:t>田湾核电实验室</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center"/>
              <w:rPr>
                <w:rFonts w:hint="eastAsia" w:cs="Times New Roman"/>
                <w:sz w:val="24"/>
                <w:szCs w:val="24"/>
                <w:vertAlign w:val="baseline"/>
                <w:lang w:val="en-US" w:eastAsia="zh-CN"/>
              </w:rPr>
            </w:pPr>
            <w:r>
              <w:rPr>
                <w:rFonts w:hint="eastAsia"/>
                <w:sz w:val="22"/>
                <w:szCs w:val="22"/>
                <w:vertAlign w:val="baseline"/>
                <w:lang w:val="en-US" w:eastAsia="zh-CN"/>
              </w:rPr>
              <w:t>中国核电工程实验室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2"/>
                <w:szCs w:val="22"/>
                <w:vertAlign w:val="baseline"/>
                <w:lang w:val="en-US" w:eastAsia="zh-CN"/>
              </w:rPr>
              <w:t>样品1</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15.34</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14.60</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vertAlign w:val="baseline"/>
                <w:lang w:val="en-US" w:eastAsia="zh-CN"/>
              </w:rPr>
            </w:pPr>
            <w:r>
              <w:rPr>
                <w:rFonts w:hint="eastAsia" w:cs="Times New Roman"/>
                <w:sz w:val="22"/>
                <w:szCs w:val="22"/>
                <w:vertAlign w:val="baseline"/>
                <w:lang w:val="en-US" w:eastAsia="zh-CN"/>
              </w:rPr>
              <w:t>样品2</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15.53</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14.82</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vertAlign w:val="baseline"/>
                <w:lang w:val="en-US" w:eastAsia="zh-CN"/>
              </w:rPr>
            </w:pPr>
            <w:r>
              <w:rPr>
                <w:rFonts w:hint="eastAsia" w:cs="Times New Roman"/>
                <w:sz w:val="22"/>
                <w:szCs w:val="22"/>
                <w:vertAlign w:val="baseline"/>
                <w:lang w:val="en-US" w:eastAsia="zh-CN"/>
              </w:rPr>
              <w:t>样品3</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14.88</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14.61</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vertAlign w:val="baseline"/>
                <w:lang w:val="en-US" w:eastAsia="zh-CN"/>
              </w:rPr>
            </w:pPr>
            <w:r>
              <w:rPr>
                <w:rFonts w:hint="eastAsia" w:cs="Times New Roman"/>
                <w:sz w:val="22"/>
                <w:szCs w:val="22"/>
                <w:vertAlign w:val="baseline"/>
                <w:lang w:val="en-US" w:eastAsia="zh-CN"/>
              </w:rPr>
              <w:t>样品4</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15.39</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14.82</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vertAlign w:val="baseline"/>
                <w:lang w:val="en-US" w:eastAsia="zh-CN"/>
              </w:rPr>
            </w:pPr>
            <w:r>
              <w:rPr>
                <w:rFonts w:hint="eastAsia" w:cs="Times New Roman"/>
                <w:sz w:val="22"/>
                <w:szCs w:val="22"/>
                <w:vertAlign w:val="baseline"/>
                <w:lang w:val="en-US" w:eastAsia="zh-CN"/>
              </w:rPr>
              <w:t>样品5</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14.74</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14.62</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4"/>
                <w:szCs w:val="24"/>
                <w:vertAlign w:val="baseline"/>
                <w:lang w:val="en-US" w:eastAsia="zh-CN"/>
              </w:rPr>
            </w:pPr>
            <w:r>
              <w:rPr>
                <w:rFonts w:hint="eastAsia" w:cs="Times New Roman"/>
                <w:sz w:val="22"/>
                <w:szCs w:val="22"/>
                <w:vertAlign w:val="baseline"/>
                <w:lang w:val="en-US" w:eastAsia="zh-CN"/>
              </w:rPr>
              <w:t>样品6</w:t>
            </w:r>
            <w:r>
              <w:rPr>
                <w:rFonts w:hint="eastAsia" w:ascii="Times New Roman" w:hAnsi="Times New Roman" w:cs="Times New Roman"/>
                <w:sz w:val="22"/>
                <w:szCs w:val="22"/>
              </w:rPr>
              <w:t>（</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15.17</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14.67</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2"/>
                <w:szCs w:val="22"/>
                <w:vertAlign w:val="baseline"/>
                <w:lang w:val="en-US" w:eastAsia="zh-CN"/>
              </w:rPr>
            </w:pPr>
            <w:r>
              <w:rPr>
                <w:rFonts w:hint="eastAsia" w:cs="Times New Roman"/>
                <w:sz w:val="22"/>
                <w:szCs w:val="22"/>
                <w:vertAlign w:val="baseline"/>
                <w:lang w:val="en-US" w:eastAsia="zh-CN"/>
              </w:rPr>
              <w:t>样品7（</w:t>
            </w:r>
            <w:r>
              <w:rPr>
                <w:rFonts w:hint="eastAsia" w:cs="Times New Roman"/>
                <w:sz w:val="22"/>
                <w:szCs w:val="22"/>
                <w:lang w:eastAsia="zh-CN"/>
              </w:rPr>
              <w:t>μg/L</w:t>
            </w:r>
            <w:r>
              <w:rPr>
                <w:rFonts w:hint="eastAsia" w:cs="Times New Roman"/>
                <w:sz w:val="22"/>
                <w:szCs w:val="22"/>
                <w:vertAlign w:val="baseline"/>
                <w:lang w:val="en-US" w:eastAsia="zh-CN"/>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15.09</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14.65</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cs="Times New Roman"/>
                <w:sz w:val="22"/>
                <w:szCs w:val="22"/>
                <w:vertAlign w:val="baseline"/>
                <w:lang w:val="en-US" w:eastAsia="zh-CN"/>
              </w:rPr>
            </w:pPr>
            <w:r>
              <w:rPr>
                <w:rFonts w:hint="eastAsia" w:ascii="Times New Roman" w:hAnsi="Times New Roman" w:cs="Times New Roman"/>
                <w:sz w:val="22"/>
                <w:szCs w:val="22"/>
              </w:rPr>
              <w:t>平均值/（</w:t>
            </w:r>
            <w:r>
              <w:rPr>
                <w:rFonts w:hint="eastAsia" w:cs="Times New Roman"/>
                <w:sz w:val="22"/>
                <w:szCs w:val="22"/>
                <w:lang w:eastAsia="zh-CN"/>
              </w:rPr>
              <w:t>μg/L</w:t>
            </w:r>
            <w:r>
              <w:rPr>
                <w:rFonts w:hint="eastAsia" w:ascii="Times New Roman" w:hAnsi="Times New Roman" w:cs="Times New Roman"/>
                <w:sz w:val="22"/>
                <w:szCs w:val="22"/>
              </w:rPr>
              <w:t>）</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15.16</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14.68</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2"/>
                <w:szCs w:val="22"/>
                <w:vertAlign w:val="baseline"/>
                <w:lang w:val="en-US" w:eastAsia="zh-CN"/>
              </w:rPr>
            </w:pPr>
            <w:r>
              <w:rPr>
                <w:rFonts w:hint="eastAsia" w:cs="Times New Roman"/>
                <w:sz w:val="22"/>
                <w:szCs w:val="22"/>
                <w:vertAlign w:val="baseline"/>
                <w:lang w:val="en-US" w:eastAsia="zh-CN"/>
              </w:rPr>
              <w:t>重复性相对标准偏差</w:t>
            </w:r>
          </w:p>
        </w:tc>
        <w:tc>
          <w:tcPr>
            <w:tcW w:w="206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1.87%</w:t>
            </w:r>
          </w:p>
        </w:tc>
        <w:tc>
          <w:tcPr>
            <w:tcW w:w="1927" w:type="dxa"/>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0.65%</w:t>
            </w:r>
          </w:p>
        </w:tc>
        <w:tc>
          <w:tcPr>
            <w:tcW w:w="2247" w:type="dxa"/>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1" w:type="dxa"/>
            <w:tcBorders>
              <w:lef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2"/>
                <w:szCs w:val="22"/>
                <w:vertAlign w:val="baseline"/>
                <w:lang w:val="en-US" w:eastAsia="zh-CN"/>
              </w:rPr>
            </w:pPr>
            <w:r>
              <w:rPr>
                <w:rFonts w:hint="eastAsia" w:cs="Times New Roman"/>
                <w:sz w:val="22"/>
                <w:szCs w:val="22"/>
                <w:vertAlign w:val="baseline"/>
                <w:lang w:val="en-US" w:eastAsia="zh-CN"/>
              </w:rPr>
              <w:t>再现性相对标准偏差</w:t>
            </w:r>
          </w:p>
        </w:tc>
        <w:tc>
          <w:tcPr>
            <w:tcW w:w="6241" w:type="dxa"/>
            <w:gridSpan w:val="3"/>
            <w:tcBorders>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cs="Times New Roman"/>
                <w:sz w:val="24"/>
                <w:szCs w:val="24"/>
                <w:vertAlign w:val="baseline"/>
                <w:lang w:val="en-US" w:eastAsia="zh-CN"/>
              </w:rPr>
            </w:pPr>
            <w:r>
              <w:rPr>
                <w:rFonts w:hint="eastAsia" w:cs="Times New Roman"/>
                <w:sz w:val="24"/>
                <w:szCs w:val="24"/>
                <w:vertAlign w:val="baseline"/>
                <w:lang w:val="en-US" w:eastAsia="zh-CN"/>
              </w:rPr>
              <w:t>1.69%</w:t>
            </w:r>
          </w:p>
        </w:tc>
      </w:tr>
    </w:tbl>
    <w:p>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center"/>
        <w:rPr>
          <w:rFonts w:hint="eastAsia" w:cs="Times New Roman"/>
          <w:sz w:val="24"/>
          <w:szCs w:val="24"/>
          <w:lang w:val="en-US" w:eastAsia="zh-CN"/>
        </w:rPr>
      </w:pPr>
      <w:r>
        <w:rPr>
          <w:rFonts w:hint="eastAsia" w:cs="Times New Roman"/>
          <w:sz w:val="24"/>
          <w:szCs w:val="24"/>
          <w:lang w:val="en-US" w:eastAsia="zh-CN"/>
        </w:rPr>
        <w:t>结论可得：</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center"/>
        <w:rPr>
          <w:rFonts w:hint="eastAsia" w:ascii="Times New Roman" w:hAnsi="Times New Roman" w:cs="Times New Roman"/>
          <w:sz w:val="24"/>
          <w:szCs w:val="24"/>
        </w:rPr>
      </w:pPr>
      <w:r>
        <w:rPr>
          <w:rFonts w:hint="eastAsia" w:cs="Times New Roman"/>
          <w:sz w:val="24"/>
          <w:szCs w:val="24"/>
          <w:lang w:val="en-US" w:eastAsia="zh-CN"/>
        </w:rPr>
        <w:t>在</w:t>
      </w:r>
      <w:r>
        <w:rPr>
          <w:rFonts w:hint="eastAsia" w:ascii="Times New Roman" w:hAnsi="Times New Roman" w:cs="Times New Roman"/>
          <w:sz w:val="24"/>
          <w:szCs w:val="24"/>
        </w:rPr>
        <w:t>同一实验室，由同一操作者使用相同设备，按相同的测试方法，</w:t>
      </w:r>
      <w:r>
        <w:rPr>
          <w:rFonts w:hint="eastAsia" w:cs="Times New Roman"/>
          <w:sz w:val="24"/>
          <w:szCs w:val="24"/>
          <w:lang w:val="en-US" w:eastAsia="zh-CN"/>
        </w:rPr>
        <w:t>测量结果的重复性误差较小，</w:t>
      </w:r>
      <w:r>
        <w:rPr>
          <w:rFonts w:hint="eastAsia" w:ascii="Times New Roman" w:hAnsi="Times New Roman" w:cs="Times New Roman"/>
          <w:sz w:val="24"/>
          <w:szCs w:val="24"/>
        </w:rPr>
        <w:t>其重复性相对标准偏差不超过10%</w:t>
      </w:r>
      <w:r>
        <w:rPr>
          <w:rFonts w:hint="eastAsia" w:cs="Times New Roman"/>
          <w:sz w:val="24"/>
          <w:szCs w:val="24"/>
          <w:lang w:eastAsia="zh-CN"/>
        </w:rPr>
        <w:t>，</w:t>
      </w:r>
      <w:r>
        <w:rPr>
          <w:rFonts w:hint="eastAsia" w:ascii="Times New Roman" w:hAnsi="Times New Roman" w:cs="Times New Roman"/>
          <w:sz w:val="24"/>
          <w:szCs w:val="24"/>
        </w:rPr>
        <w:t>表明</w:t>
      </w:r>
      <w:r>
        <w:rPr>
          <w:rFonts w:hint="eastAsia" w:cs="Times New Roman"/>
          <w:sz w:val="24"/>
          <w:szCs w:val="24"/>
          <w:lang w:val="en-US" w:eastAsia="zh-CN"/>
        </w:rPr>
        <w:t>本分析方法</w:t>
      </w:r>
      <w:r>
        <w:rPr>
          <w:rFonts w:hint="eastAsia" w:ascii="Times New Roman" w:hAnsi="Times New Roman" w:cs="Times New Roman"/>
          <w:sz w:val="24"/>
          <w:szCs w:val="24"/>
        </w:rPr>
        <w:t>具有良好的重复性。</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center"/>
        <w:rPr>
          <w:rFonts w:hint="default" w:cs="Times New Roman"/>
          <w:sz w:val="24"/>
          <w:szCs w:val="24"/>
          <w:highlight w:val="yellow"/>
          <w:lang w:val="en-US" w:eastAsia="zh-CN"/>
        </w:rPr>
      </w:pPr>
      <w:r>
        <w:rPr>
          <w:rFonts w:hint="eastAsia" w:cs="Times New Roman"/>
          <w:sz w:val="24"/>
          <w:szCs w:val="24"/>
          <w:lang w:val="en-US" w:eastAsia="zh-CN"/>
        </w:rPr>
        <w:t>在不同实验环境下，由不同操作者按相同的测试方法，测量结果的相对标准偏差较小，其再现性相对标准偏差不超过10%，表明本分析方法具有极优的再现性。</w:t>
      </w:r>
    </w:p>
    <w:p>
      <w:pPr>
        <w:pStyle w:val="8"/>
        <w:widowControl w:val="0"/>
        <w:numPr>
          <w:ilvl w:val="0"/>
          <w:numId w:val="2"/>
        </w:numPr>
        <w:ind w:left="0" w:firstLine="0" w:firstLineChars="0"/>
        <w:jc w:val="both"/>
        <w:rPr>
          <w:rFonts w:ascii="Times New Roman" w:hAnsi="Times New Roman" w:cs="Times New Roman"/>
          <w:b/>
          <w:bCs/>
        </w:rPr>
      </w:pPr>
      <w:r>
        <w:rPr>
          <w:rFonts w:ascii="Times New Roman" w:hAnsi="Times New Roman" w:cs="Times New Roman"/>
          <w:b/>
          <w:bCs/>
        </w:rPr>
        <w:t>检测限试验</w:t>
      </w:r>
    </w:p>
    <w:p>
      <w:pPr>
        <w:pStyle w:val="9"/>
        <w:autoSpaceDE w:val="0"/>
        <w:autoSpaceDN w:val="0"/>
        <w:spacing w:line="360" w:lineRule="auto"/>
        <w:textAlignment w:val="center"/>
        <w:rPr>
          <w:rFonts w:hint="default"/>
          <w:sz w:val="24"/>
          <w:szCs w:val="24"/>
          <w:highlight w:val="none"/>
          <w:lang w:val="en-US" w:eastAsia="zh-CN"/>
        </w:rPr>
      </w:pPr>
      <w:r>
        <w:rPr>
          <w:rFonts w:hint="eastAsia"/>
          <w:sz w:val="24"/>
          <w:szCs w:val="24"/>
          <w:highlight w:val="none"/>
          <w:lang w:val="en-US" w:eastAsia="zh-CN"/>
        </w:rPr>
        <w:t>按照最终优化确定的分析条件进行检测限试验。</w:t>
      </w:r>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本标准采用信噪比法确定方法检测限。信噪比法基于信号强度和基线噪声的比值，通常以3倍信噪比计算方法检出限，以10倍信噪比计算方法检测限。</w:t>
      </w:r>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计算公式如下：</w:t>
      </w:r>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C</w:t>
      </w:r>
      <w:r>
        <w:rPr>
          <w:rFonts w:hint="eastAsia"/>
          <w:sz w:val="24"/>
          <w:szCs w:val="24"/>
          <w:highlight w:val="none"/>
          <w:vertAlign w:val="subscript"/>
          <w:lang w:val="en-US" w:eastAsia="zh-CN"/>
        </w:rPr>
        <w:t>检出限</w:t>
      </w:r>
      <w:r>
        <w:rPr>
          <w:rFonts w:hint="eastAsia"/>
          <w:sz w:val="24"/>
          <w:szCs w:val="24"/>
          <w:highlight w:val="none"/>
          <w:lang w:val="en-US" w:eastAsia="zh-CN"/>
        </w:rPr>
        <w:t>=</w:t>
      </w:r>
      <m:oMath>
        <m:f>
          <m:fPr>
            <m:ctrlPr>
              <w:rPr>
                <w:rFonts w:ascii="Cambria Math" w:hAnsi="Cambria Math"/>
                <w:i/>
                <w:sz w:val="24"/>
                <w:szCs w:val="24"/>
                <w:highlight w:val="none"/>
                <w:lang w:val="en-US"/>
              </w:rPr>
            </m:ctrlPr>
          </m:fPr>
          <m:num>
            <m:r>
              <m:rPr/>
              <w:rPr>
                <w:rFonts w:hint="default" w:ascii="Cambria Math" w:hAnsi="Cambria Math"/>
                <w:sz w:val="24"/>
                <w:szCs w:val="24"/>
                <w:highlight w:val="none"/>
                <w:lang w:val="en-US" w:eastAsia="zh-CN"/>
              </w:rPr>
              <m:t>3∗HN∗c</m:t>
            </m:r>
            <m:ctrlPr>
              <w:rPr>
                <w:rFonts w:ascii="Cambria Math" w:hAnsi="Cambria Math"/>
                <w:i/>
                <w:sz w:val="24"/>
                <w:szCs w:val="24"/>
                <w:highlight w:val="none"/>
                <w:lang w:val="en-US"/>
              </w:rPr>
            </m:ctrlPr>
          </m:num>
          <m:den>
            <m:r>
              <m:rPr/>
              <w:rPr>
                <w:rFonts w:hint="default" w:ascii="Cambria Math" w:hAnsi="Cambria Math"/>
                <w:sz w:val="24"/>
                <w:szCs w:val="24"/>
                <w:highlight w:val="none"/>
                <w:lang w:val="en-US" w:eastAsia="zh-CN"/>
              </w:rPr>
              <m:t>H</m:t>
            </m:r>
            <m:ctrlPr>
              <w:rPr>
                <w:rFonts w:ascii="Cambria Math" w:hAnsi="Cambria Math"/>
                <w:i/>
                <w:sz w:val="24"/>
                <w:szCs w:val="24"/>
                <w:highlight w:val="none"/>
                <w:lang w:val="en-US"/>
              </w:rPr>
            </m:ctrlPr>
          </m:den>
        </m:f>
      </m:oMath>
    </w:p>
    <w:p>
      <w:pPr>
        <w:pStyle w:val="9"/>
        <w:autoSpaceDE w:val="0"/>
        <w:autoSpaceDN w:val="0"/>
        <w:spacing w:line="360" w:lineRule="auto"/>
        <w:textAlignment w:val="center"/>
        <w:rPr>
          <w:rFonts w:hint="eastAsia" w:hAnsi="Cambria Math"/>
          <w:i w:val="0"/>
          <w:sz w:val="24"/>
          <w:szCs w:val="24"/>
          <w:highlight w:val="none"/>
          <w:lang w:val="en-US" w:eastAsia="zh-CN"/>
        </w:rPr>
      </w:pPr>
      <w:r>
        <w:rPr>
          <w:rFonts w:hint="eastAsia"/>
          <w:sz w:val="24"/>
          <w:szCs w:val="24"/>
          <w:highlight w:val="none"/>
          <w:lang w:val="en-US" w:eastAsia="zh-CN"/>
        </w:rPr>
        <w:t>C</w:t>
      </w:r>
      <w:r>
        <w:rPr>
          <w:rFonts w:hint="eastAsia"/>
          <w:sz w:val="24"/>
          <w:szCs w:val="24"/>
          <w:highlight w:val="none"/>
          <w:vertAlign w:val="subscript"/>
          <w:lang w:val="en-US" w:eastAsia="zh-CN"/>
        </w:rPr>
        <w:t>检测限</w:t>
      </w:r>
      <w:r>
        <w:rPr>
          <w:rFonts w:hint="eastAsia"/>
          <w:sz w:val="24"/>
          <w:szCs w:val="24"/>
          <w:highlight w:val="none"/>
          <w:lang w:val="en-US" w:eastAsia="zh-CN"/>
        </w:rPr>
        <w:t>=</w:t>
      </w:r>
      <m:oMath>
        <m:f>
          <m:fPr>
            <m:ctrlPr>
              <w:rPr>
                <w:rFonts w:ascii="Cambria Math" w:hAnsi="Cambria Math"/>
                <w:i/>
                <w:sz w:val="24"/>
                <w:szCs w:val="24"/>
                <w:highlight w:val="none"/>
                <w:lang w:val="en-US"/>
              </w:rPr>
            </m:ctrlPr>
          </m:fPr>
          <m:num>
            <m:r>
              <m:rPr/>
              <w:rPr>
                <w:rFonts w:hint="eastAsia" w:ascii="Cambria Math" w:hAnsi="Cambria Math"/>
                <w:sz w:val="24"/>
                <w:szCs w:val="24"/>
                <w:highlight w:val="none"/>
                <w:lang w:val="en-US" w:eastAsia="zh-CN"/>
              </w:rPr>
              <m:t>10</m:t>
            </m:r>
            <m:r>
              <m:rPr/>
              <w:rPr>
                <w:rFonts w:hint="default" w:ascii="Cambria Math" w:hAnsi="Cambria Math"/>
                <w:sz w:val="24"/>
                <w:szCs w:val="24"/>
                <w:highlight w:val="none"/>
                <w:lang w:val="en-US" w:eastAsia="zh-CN"/>
              </w:rPr>
              <m:t>∗HN∗c</m:t>
            </m:r>
            <m:ctrlPr>
              <w:rPr>
                <w:rFonts w:ascii="Cambria Math" w:hAnsi="Cambria Math"/>
                <w:i/>
                <w:sz w:val="24"/>
                <w:szCs w:val="24"/>
                <w:highlight w:val="none"/>
                <w:lang w:val="en-US"/>
              </w:rPr>
            </m:ctrlPr>
          </m:num>
          <m:den>
            <m:r>
              <m:rPr/>
              <w:rPr>
                <w:rFonts w:hint="default" w:ascii="Cambria Math" w:hAnsi="Cambria Math"/>
                <w:sz w:val="24"/>
                <w:szCs w:val="24"/>
                <w:highlight w:val="none"/>
                <w:lang w:val="en-US" w:eastAsia="zh-CN"/>
              </w:rPr>
              <m:t>H</m:t>
            </m:r>
            <m:ctrlPr>
              <w:rPr>
                <w:rFonts w:ascii="Cambria Math" w:hAnsi="Cambria Math"/>
                <w:i/>
                <w:sz w:val="24"/>
                <w:szCs w:val="24"/>
                <w:highlight w:val="none"/>
                <w:lang w:val="en-US"/>
              </w:rPr>
            </m:ctrlPr>
          </m:den>
        </m:f>
      </m:oMath>
    </w:p>
    <w:p>
      <w:pPr>
        <w:pStyle w:val="9"/>
        <w:autoSpaceDE w:val="0"/>
        <w:autoSpaceDN w:val="0"/>
        <w:spacing w:line="360" w:lineRule="auto"/>
        <w:textAlignment w:val="center"/>
        <w:rPr>
          <w:rFonts w:hint="eastAsia"/>
          <w:sz w:val="24"/>
          <w:szCs w:val="24"/>
          <w:highlight w:val="none"/>
          <w:lang w:val="en-US" w:eastAsia="zh-CN"/>
        </w:rPr>
      </w:pPr>
      <w:r>
        <w:rPr>
          <w:rFonts w:hint="eastAsia"/>
          <w:sz w:val="24"/>
          <w:szCs w:val="24"/>
          <w:highlight w:val="none"/>
          <w:lang w:val="en-US" w:eastAsia="zh-CN"/>
        </w:rPr>
        <w:t>HN为基线噪声</w:t>
      </w:r>
      <w:r>
        <w:rPr>
          <w:rFonts w:hint="default"/>
          <w:sz w:val="22"/>
          <w:szCs w:val="28"/>
          <w:highlight w:val="none"/>
          <w:lang w:val="en-US" w:eastAsia="zh-CN"/>
        </w:rPr>
        <w:t>μ</w:t>
      </w:r>
      <w:r>
        <w:rPr>
          <w:rFonts w:hint="eastAsia"/>
          <w:sz w:val="22"/>
          <w:szCs w:val="28"/>
          <w:highlight w:val="none"/>
          <w:lang w:val="en-US" w:eastAsia="zh-CN"/>
        </w:rPr>
        <w:t>S/cm</w:t>
      </w:r>
      <w:r>
        <w:rPr>
          <w:rFonts w:hint="eastAsia"/>
          <w:sz w:val="24"/>
          <w:szCs w:val="24"/>
          <w:highlight w:val="none"/>
          <w:lang w:val="en-US" w:eastAsia="zh-CN"/>
        </w:rPr>
        <w:t>、c为标准溶液浓度μg/L、H为标准溶液的色谱峰高</w:t>
      </w:r>
      <w:r>
        <w:rPr>
          <w:rFonts w:hint="default"/>
          <w:sz w:val="22"/>
          <w:szCs w:val="28"/>
          <w:highlight w:val="none"/>
          <w:lang w:val="en-US" w:eastAsia="zh-CN"/>
        </w:rPr>
        <w:t>μ</w:t>
      </w:r>
      <w:r>
        <w:rPr>
          <w:rFonts w:hint="eastAsia"/>
          <w:sz w:val="22"/>
          <w:szCs w:val="28"/>
          <w:highlight w:val="none"/>
          <w:lang w:val="en-US" w:eastAsia="zh-CN"/>
        </w:rPr>
        <w:t>S/cm</w:t>
      </w:r>
      <w:r>
        <w:rPr>
          <w:rFonts w:hint="eastAsia"/>
          <w:sz w:val="24"/>
          <w:szCs w:val="24"/>
          <w:highlight w:val="none"/>
          <w:lang w:val="en-US" w:eastAsia="zh-CN"/>
        </w:rPr>
        <w:t>。</w:t>
      </w:r>
    </w:p>
    <w:p>
      <w:pPr>
        <w:pStyle w:val="9"/>
        <w:autoSpaceDE w:val="0"/>
        <w:autoSpaceDN w:val="0"/>
        <w:spacing w:line="360" w:lineRule="auto"/>
        <w:textAlignment w:val="center"/>
        <w:rPr>
          <w:rFonts w:hint="eastAsia"/>
          <w:sz w:val="24"/>
          <w:szCs w:val="24"/>
          <w:highlight w:val="none"/>
          <w:vertAlign w:val="baseline"/>
          <w:lang w:val="en-US" w:eastAsia="zh-CN"/>
        </w:rPr>
      </w:pPr>
      <w:r>
        <w:rPr>
          <w:rFonts w:hint="eastAsia"/>
          <w:sz w:val="24"/>
          <w:szCs w:val="24"/>
          <w:highlight w:val="none"/>
          <w:lang w:val="en-US" w:eastAsia="zh-CN"/>
        </w:rPr>
        <w:t>配制3.00μg/L</w:t>
      </w:r>
      <w:r>
        <w:rPr>
          <w:rFonts w:hint="eastAsia"/>
          <w:sz w:val="24"/>
          <w:szCs w:val="24"/>
          <w:highlight w:val="none"/>
          <w:vertAlign w:val="baseline"/>
          <w:lang w:val="en-US" w:eastAsia="zh-CN"/>
        </w:rPr>
        <w:t>的锌离子标液，进行试验，分析结果如下：</w:t>
      </w:r>
    </w:p>
    <w:p>
      <w:pPr>
        <w:pStyle w:val="9"/>
        <w:autoSpaceDE w:val="0"/>
        <w:autoSpaceDN w:val="0"/>
        <w:spacing w:line="360" w:lineRule="auto"/>
        <w:jc w:val="center"/>
        <w:textAlignment w:val="center"/>
        <w:rPr>
          <w:rFonts w:hint="default"/>
          <w:sz w:val="24"/>
          <w:szCs w:val="24"/>
          <w:highlight w:val="none"/>
          <w:vertAlign w:val="baseline"/>
          <w:lang w:val="en-US" w:eastAsia="zh-CN"/>
        </w:rPr>
      </w:pPr>
      <w:r>
        <w:rPr>
          <w:rFonts w:hint="eastAsia"/>
          <w:sz w:val="24"/>
          <w:szCs w:val="24"/>
          <w:highlight w:val="none"/>
          <w:vertAlign w:val="baseline"/>
          <w:lang w:val="en-US" w:eastAsia="zh-CN"/>
        </w:rPr>
        <w:t>表4 方法检测限试验结果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537"/>
        <w:gridCol w:w="1725"/>
        <w:gridCol w:w="1513"/>
        <w:gridCol w:w="1475"/>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0" w:type="dxa"/>
            <w:tcBorders>
              <w:top w:val="single" w:color="auto" w:sz="4" w:space="0"/>
              <w:left w:val="nil"/>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名称</w:t>
            </w:r>
          </w:p>
        </w:tc>
        <w:tc>
          <w:tcPr>
            <w:tcW w:w="1537" w:type="dxa"/>
            <w:tcBorders>
              <w:top w:val="single" w:color="auto" w:sz="4" w:space="0"/>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sz w:val="22"/>
                <w:szCs w:val="28"/>
                <w:highlight w:val="none"/>
                <w:vertAlign w:val="baseline"/>
                <w:lang w:val="en-US" w:eastAsia="zh-CN"/>
              </w:rPr>
            </w:pPr>
            <w:r>
              <w:rPr>
                <w:rFonts w:hint="eastAsia"/>
                <w:sz w:val="22"/>
                <w:szCs w:val="28"/>
                <w:highlight w:val="none"/>
                <w:vertAlign w:val="baseline"/>
                <w:lang w:val="en-US" w:eastAsia="zh-CN"/>
              </w:rPr>
              <w:t>理论浓度</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w:t>
            </w:r>
            <w:r>
              <w:rPr>
                <w:rFonts w:hint="eastAsia"/>
                <w:sz w:val="22"/>
                <w:szCs w:val="28"/>
                <w:highlight w:val="none"/>
                <w:lang w:val="en-US" w:eastAsia="zh-CN"/>
              </w:rPr>
              <w:t>μg/L</w:t>
            </w:r>
            <w:r>
              <w:rPr>
                <w:rFonts w:hint="eastAsia"/>
                <w:sz w:val="22"/>
                <w:szCs w:val="28"/>
                <w:highlight w:val="none"/>
                <w:vertAlign w:val="baseline"/>
                <w:lang w:val="en-US" w:eastAsia="zh-CN"/>
              </w:rPr>
              <w:t>）</w:t>
            </w:r>
          </w:p>
        </w:tc>
        <w:tc>
          <w:tcPr>
            <w:tcW w:w="1725" w:type="dxa"/>
            <w:tcBorders>
              <w:top w:val="single" w:color="auto" w:sz="4" w:space="0"/>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基线噪声（</w:t>
            </w:r>
            <w:r>
              <w:rPr>
                <w:rFonts w:hint="default"/>
                <w:sz w:val="22"/>
                <w:szCs w:val="28"/>
                <w:highlight w:val="none"/>
                <w:lang w:val="en-US" w:eastAsia="zh-CN"/>
              </w:rPr>
              <w:t>μ</w:t>
            </w:r>
            <w:r>
              <w:rPr>
                <w:rFonts w:hint="eastAsia"/>
                <w:sz w:val="22"/>
                <w:szCs w:val="28"/>
                <w:highlight w:val="none"/>
                <w:lang w:val="en-US" w:eastAsia="zh-CN"/>
              </w:rPr>
              <w:t>S/cm）</w:t>
            </w:r>
          </w:p>
        </w:tc>
        <w:tc>
          <w:tcPr>
            <w:tcW w:w="1513"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sz w:val="22"/>
                <w:szCs w:val="28"/>
                <w:highlight w:val="none"/>
                <w:vertAlign w:val="baseline"/>
                <w:lang w:val="en-US" w:eastAsia="zh-CN"/>
              </w:rPr>
            </w:pPr>
            <w:r>
              <w:rPr>
                <w:rFonts w:hint="eastAsia"/>
                <w:sz w:val="22"/>
                <w:szCs w:val="28"/>
                <w:highlight w:val="none"/>
                <w:vertAlign w:val="baseline"/>
                <w:lang w:val="en-US" w:eastAsia="zh-CN"/>
              </w:rPr>
              <w:t>峰高</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w:t>
            </w:r>
            <w:r>
              <w:rPr>
                <w:rFonts w:hint="default"/>
                <w:sz w:val="22"/>
                <w:szCs w:val="28"/>
                <w:highlight w:val="none"/>
                <w:lang w:val="en-US" w:eastAsia="zh-CN"/>
              </w:rPr>
              <w:t>μ</w:t>
            </w:r>
            <w:r>
              <w:rPr>
                <w:rFonts w:hint="eastAsia"/>
                <w:sz w:val="22"/>
                <w:szCs w:val="28"/>
                <w:highlight w:val="none"/>
                <w:lang w:val="en-US" w:eastAsia="zh-CN"/>
              </w:rPr>
              <w:t>S/cm）</w:t>
            </w:r>
          </w:p>
        </w:tc>
        <w:tc>
          <w:tcPr>
            <w:tcW w:w="1475"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sz w:val="22"/>
                <w:szCs w:val="28"/>
                <w:highlight w:val="none"/>
                <w:vertAlign w:val="baseline"/>
                <w:lang w:val="en-US" w:eastAsia="zh-CN"/>
              </w:rPr>
            </w:pPr>
            <w:r>
              <w:rPr>
                <w:rFonts w:hint="eastAsia"/>
                <w:sz w:val="22"/>
                <w:szCs w:val="28"/>
                <w:highlight w:val="none"/>
                <w:vertAlign w:val="baseline"/>
                <w:lang w:val="en-US" w:eastAsia="zh-CN"/>
              </w:rPr>
              <w:t>检出限</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w:t>
            </w:r>
            <w:r>
              <w:rPr>
                <w:rFonts w:hint="eastAsia"/>
                <w:sz w:val="22"/>
                <w:szCs w:val="28"/>
                <w:highlight w:val="none"/>
                <w:lang w:val="en-US" w:eastAsia="zh-CN"/>
              </w:rPr>
              <w:t>μg/L</w:t>
            </w:r>
            <w:r>
              <w:rPr>
                <w:rFonts w:hint="eastAsia"/>
                <w:sz w:val="22"/>
                <w:szCs w:val="28"/>
                <w:highlight w:val="none"/>
                <w:vertAlign w:val="baseline"/>
                <w:lang w:val="en-US" w:eastAsia="zh-CN"/>
              </w:rPr>
              <w:t>）</w:t>
            </w:r>
          </w:p>
        </w:tc>
        <w:tc>
          <w:tcPr>
            <w:tcW w:w="1402"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eastAsia"/>
                <w:sz w:val="22"/>
                <w:szCs w:val="28"/>
                <w:highlight w:val="none"/>
                <w:vertAlign w:val="baseline"/>
                <w:lang w:val="en-US" w:eastAsia="zh-CN"/>
              </w:rPr>
            </w:pPr>
            <w:r>
              <w:rPr>
                <w:rFonts w:hint="eastAsia"/>
                <w:sz w:val="22"/>
                <w:szCs w:val="28"/>
                <w:highlight w:val="none"/>
                <w:vertAlign w:val="baseline"/>
                <w:lang w:val="en-US" w:eastAsia="zh-CN"/>
              </w:rPr>
              <w:t>检测限</w:t>
            </w:r>
          </w:p>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w:t>
            </w:r>
            <w:r>
              <w:rPr>
                <w:rFonts w:hint="eastAsia"/>
                <w:sz w:val="22"/>
                <w:szCs w:val="28"/>
                <w:highlight w:val="none"/>
                <w:lang w:val="en-US" w:eastAsia="zh-CN"/>
              </w:rPr>
              <w:t>μg/L</w:t>
            </w:r>
            <w:r>
              <w:rPr>
                <w:rFonts w:hint="eastAsia"/>
                <w:sz w:val="22"/>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0" w:type="dxa"/>
            <w:tcBorders>
              <w:top w:val="single" w:color="auto" w:sz="4" w:space="0"/>
              <w:left w:val="nil"/>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Zn</w:t>
            </w:r>
          </w:p>
        </w:tc>
        <w:tc>
          <w:tcPr>
            <w:tcW w:w="1537" w:type="dxa"/>
            <w:tcBorders>
              <w:top w:val="single" w:color="auto" w:sz="4" w:space="0"/>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3.00</w:t>
            </w:r>
          </w:p>
        </w:tc>
        <w:tc>
          <w:tcPr>
            <w:tcW w:w="1725" w:type="dxa"/>
            <w:tcBorders>
              <w:top w:val="single" w:color="auto" w:sz="4" w:space="0"/>
              <w:bottom w:val="single" w:color="auto" w:sz="4"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0.023623</w:t>
            </w:r>
          </w:p>
        </w:tc>
        <w:tc>
          <w:tcPr>
            <w:tcW w:w="1513"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0.472680</w:t>
            </w:r>
          </w:p>
        </w:tc>
        <w:tc>
          <w:tcPr>
            <w:tcW w:w="1475"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0.45</w:t>
            </w:r>
          </w:p>
        </w:tc>
        <w:tc>
          <w:tcPr>
            <w:tcW w:w="1402" w:type="dxa"/>
            <w:tcBorders>
              <w:top w:val="single" w:color="auto" w:sz="4" w:space="0"/>
              <w:bottom w:val="single" w:color="auto" w:sz="4" w:space="0"/>
              <w:right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center"/>
              <w:textAlignment w:val="center"/>
              <w:rPr>
                <w:rFonts w:hint="default"/>
                <w:sz w:val="22"/>
                <w:szCs w:val="28"/>
                <w:highlight w:val="none"/>
                <w:vertAlign w:val="baseline"/>
                <w:lang w:val="en-US" w:eastAsia="zh-CN"/>
              </w:rPr>
            </w:pPr>
            <w:r>
              <w:rPr>
                <w:rFonts w:hint="eastAsia"/>
                <w:sz w:val="22"/>
                <w:szCs w:val="28"/>
                <w:highlight w:val="none"/>
                <w:vertAlign w:val="baseline"/>
                <w:lang w:val="en-US" w:eastAsia="zh-CN"/>
              </w:rPr>
              <w:t>1.50</w:t>
            </w:r>
          </w:p>
        </w:tc>
      </w:tr>
    </w:tbl>
    <w:p>
      <w:pPr>
        <w:pStyle w:val="9"/>
        <w:autoSpaceDE w:val="0"/>
        <w:autoSpaceDN w:val="0"/>
        <w:spacing w:line="360" w:lineRule="auto"/>
        <w:textAlignment w:val="center"/>
        <w:rPr>
          <w:rFonts w:hint="default"/>
          <w:sz w:val="24"/>
          <w:szCs w:val="24"/>
          <w:lang w:val="en-US" w:eastAsia="zh-CN"/>
        </w:rPr>
      </w:pPr>
      <w:r>
        <w:rPr>
          <w:sz w:val="24"/>
          <w:szCs w:val="24"/>
        </w:rPr>
        <w:t>根据</w:t>
      </w:r>
      <w:r>
        <w:rPr>
          <w:rFonts w:hint="eastAsia"/>
          <w:sz w:val="24"/>
          <w:szCs w:val="24"/>
          <w:lang w:val="en-US" w:eastAsia="zh-CN"/>
        </w:rPr>
        <w:t>试</w:t>
      </w:r>
      <w:r>
        <w:rPr>
          <w:sz w:val="24"/>
          <w:szCs w:val="24"/>
        </w:rPr>
        <w:t>验验证，该测量方法</w:t>
      </w:r>
      <w:r>
        <w:rPr>
          <w:rFonts w:hint="eastAsia"/>
          <w:sz w:val="24"/>
          <w:szCs w:val="24"/>
          <w:lang w:val="en-US" w:eastAsia="zh-CN"/>
        </w:rPr>
        <w:t>对低浓度锌离子测量的检测限为1.50</w:t>
      </w:r>
      <w:r>
        <w:rPr>
          <w:rFonts w:hint="eastAsia"/>
          <w:sz w:val="24"/>
          <w:szCs w:val="24"/>
          <w:highlight w:val="none"/>
          <w:lang w:val="en-US" w:eastAsia="zh-CN"/>
        </w:rPr>
        <w:t>μg/L</w:t>
      </w:r>
      <w:r>
        <w:rPr>
          <w:sz w:val="24"/>
          <w:szCs w:val="24"/>
        </w:rPr>
        <w:t>。</w:t>
      </w:r>
    </w:p>
    <w:p>
      <w:pPr>
        <w:pStyle w:val="9"/>
        <w:autoSpaceDE w:val="0"/>
        <w:autoSpaceDN w:val="0"/>
        <w:spacing w:line="360" w:lineRule="auto"/>
        <w:textAlignment w:val="center"/>
        <w:rPr>
          <w:rFonts w:ascii="Times New Roman" w:hAnsi="Times New Roman" w:cs="Times New Roman"/>
          <w:highlight w:val="none"/>
        </w:rPr>
      </w:pPr>
      <w:r>
        <w:rPr>
          <w:rFonts w:hint="eastAsia"/>
          <w:sz w:val="24"/>
          <w:szCs w:val="32"/>
          <w:highlight w:val="none"/>
          <w:lang w:val="en-US" w:eastAsia="zh-CN"/>
        </w:rPr>
        <w:t>综上所述，编制组验证了通过富集等技术手段实现直接电导法测量低浓度的锌离子的可行性，检测限满足分析需求。</w:t>
      </w:r>
    </w:p>
    <w:p>
      <w:pPr>
        <w:outlineLvl w:val="0"/>
        <w:rPr>
          <w:b/>
          <w:sz w:val="28"/>
          <w:szCs w:val="28"/>
          <w:highlight w:val="none"/>
        </w:rPr>
      </w:pPr>
      <w:r>
        <w:rPr>
          <w:rFonts w:hint="eastAsia"/>
          <w:b/>
          <w:sz w:val="28"/>
          <w:szCs w:val="28"/>
          <w:highlight w:val="none"/>
        </w:rPr>
        <w:t>四、标准中涉及专利的情况</w:t>
      </w:r>
    </w:p>
    <w:p>
      <w:pPr>
        <w:pStyle w:val="9"/>
        <w:autoSpaceDE w:val="0"/>
        <w:autoSpaceDN w:val="0"/>
        <w:spacing w:line="360" w:lineRule="auto"/>
        <w:textAlignment w:val="center"/>
        <w:rPr>
          <w:highlight w:val="none"/>
        </w:rPr>
      </w:pPr>
      <w:r>
        <w:rPr>
          <w:rFonts w:hint="eastAsia"/>
          <w:sz w:val="24"/>
          <w:szCs w:val="32"/>
          <w:highlight w:val="none"/>
        </w:rPr>
        <w:t>本标准不涉及专利问题。</w:t>
      </w:r>
    </w:p>
    <w:p>
      <w:pPr>
        <w:outlineLvl w:val="0"/>
        <w:rPr>
          <w:b/>
          <w:sz w:val="28"/>
          <w:szCs w:val="28"/>
          <w:highlight w:val="none"/>
        </w:rPr>
      </w:pPr>
      <w:r>
        <w:rPr>
          <w:rFonts w:hint="eastAsia"/>
          <w:b/>
          <w:sz w:val="28"/>
          <w:szCs w:val="28"/>
          <w:highlight w:val="none"/>
        </w:rPr>
        <w:t>五、预期达到的社会效益、对产业发展的作用等情况</w:t>
      </w:r>
    </w:p>
    <w:p>
      <w:pPr>
        <w:pStyle w:val="9"/>
        <w:autoSpaceDE w:val="0"/>
        <w:autoSpaceDN w:val="0"/>
        <w:spacing w:line="360" w:lineRule="auto"/>
        <w:textAlignment w:val="center"/>
        <w:rPr>
          <w:highlight w:val="none"/>
        </w:rPr>
      </w:pPr>
      <w:r>
        <w:rPr>
          <w:rFonts w:hint="eastAsia"/>
          <w:sz w:val="24"/>
          <w:szCs w:val="32"/>
          <w:highlight w:val="none"/>
        </w:rPr>
        <w:t>通过本标准的制定，不仅能达成在核电、军工、环境等领域的应用目标，还能为半导体、化工、医药等新兴市场的在线离子化合物检测提供解决方案，推动国产在线离子色谱仪的市场拓展。</w:t>
      </w:r>
    </w:p>
    <w:p>
      <w:pPr>
        <w:outlineLvl w:val="0"/>
        <w:rPr>
          <w:b/>
          <w:sz w:val="28"/>
          <w:szCs w:val="28"/>
          <w:highlight w:val="none"/>
        </w:rPr>
      </w:pPr>
      <w:r>
        <w:rPr>
          <w:rFonts w:hint="eastAsia"/>
          <w:b/>
          <w:sz w:val="28"/>
          <w:szCs w:val="28"/>
          <w:highlight w:val="none"/>
        </w:rPr>
        <w:t>六、与国际、国外对比情况</w:t>
      </w:r>
    </w:p>
    <w:p>
      <w:pPr>
        <w:pStyle w:val="9"/>
        <w:autoSpaceDE w:val="0"/>
        <w:autoSpaceDN w:val="0"/>
        <w:spacing w:line="360" w:lineRule="auto"/>
        <w:textAlignment w:val="center"/>
        <w:rPr>
          <w:highlight w:val="none"/>
        </w:rPr>
      </w:pPr>
      <w:r>
        <w:rPr>
          <w:rFonts w:hint="eastAsia"/>
          <w:sz w:val="24"/>
          <w:szCs w:val="32"/>
          <w:highlight w:val="none"/>
          <w:lang w:val="en-US" w:eastAsia="zh-CN"/>
        </w:rPr>
        <w:t>国内外</w:t>
      </w:r>
      <w:r>
        <w:rPr>
          <w:rFonts w:hint="eastAsia"/>
          <w:sz w:val="24"/>
          <w:szCs w:val="32"/>
          <w:highlight w:val="none"/>
        </w:rPr>
        <w:t>已有使用</w:t>
      </w:r>
      <w:r>
        <w:rPr>
          <w:rFonts w:hint="eastAsia"/>
          <w:sz w:val="24"/>
          <w:szCs w:val="32"/>
          <w:highlight w:val="none"/>
          <w:lang w:val="en-US" w:eastAsia="zh-CN"/>
        </w:rPr>
        <w:t>离子色谱法分离锌离子的分析方法，但都使用柱后衍生检测方法，且检测限较高（mg/L级别），尚未有使用电导检测法进行定量分析的应用</w:t>
      </w:r>
      <w:r>
        <w:rPr>
          <w:rFonts w:hint="eastAsia"/>
          <w:sz w:val="24"/>
          <w:szCs w:val="32"/>
          <w:highlight w:val="none"/>
        </w:rPr>
        <w:t>，</w:t>
      </w:r>
      <w:r>
        <w:rPr>
          <w:rFonts w:hint="eastAsia"/>
          <w:sz w:val="24"/>
          <w:szCs w:val="32"/>
          <w:highlight w:val="none"/>
          <w:lang w:val="en-US" w:eastAsia="zh-CN"/>
        </w:rPr>
        <w:t>也</w:t>
      </w:r>
      <w:r>
        <w:rPr>
          <w:rFonts w:hint="eastAsia"/>
          <w:sz w:val="24"/>
          <w:szCs w:val="32"/>
          <w:highlight w:val="none"/>
        </w:rPr>
        <w:t>未</w:t>
      </w:r>
      <w:r>
        <w:rPr>
          <w:rFonts w:hint="eastAsia"/>
          <w:sz w:val="24"/>
          <w:szCs w:val="32"/>
          <w:highlight w:val="none"/>
          <w:lang w:val="en-US" w:eastAsia="zh-CN"/>
        </w:rPr>
        <w:t>有针对基体复杂的含硼水中检测限达到</w:t>
      </w:r>
      <w:r>
        <w:rPr>
          <w:rFonts w:hint="eastAsia"/>
        </w:rPr>
        <w:t>μg/</w:t>
      </w:r>
      <w:r>
        <w:rPr>
          <w:rFonts w:hint="eastAsia"/>
          <w:lang w:val="en-US" w:eastAsia="zh-CN"/>
        </w:rPr>
        <w:t>L</w:t>
      </w:r>
      <w:r>
        <w:rPr>
          <w:rFonts w:hint="eastAsia"/>
          <w:sz w:val="24"/>
          <w:szCs w:val="32"/>
          <w:highlight w:val="none"/>
          <w:lang w:val="en-US" w:eastAsia="zh-CN"/>
        </w:rPr>
        <w:t>级别</w:t>
      </w:r>
      <w:r>
        <w:rPr>
          <w:rFonts w:hint="eastAsia"/>
          <w:sz w:val="24"/>
          <w:szCs w:val="32"/>
          <w:highlight w:val="none"/>
        </w:rPr>
        <w:t>的</w:t>
      </w:r>
      <w:r>
        <w:rPr>
          <w:rFonts w:hint="eastAsia"/>
          <w:sz w:val="24"/>
          <w:szCs w:val="32"/>
          <w:highlight w:val="none"/>
          <w:lang w:val="en-US" w:eastAsia="zh-CN"/>
        </w:rPr>
        <w:t>应用</w:t>
      </w:r>
      <w:r>
        <w:rPr>
          <w:rFonts w:hint="eastAsia"/>
          <w:sz w:val="24"/>
          <w:szCs w:val="32"/>
          <w:highlight w:val="none"/>
        </w:rPr>
        <w:t>。</w:t>
      </w:r>
    </w:p>
    <w:p>
      <w:pPr>
        <w:outlineLvl w:val="0"/>
        <w:rPr>
          <w:b/>
          <w:sz w:val="28"/>
          <w:szCs w:val="28"/>
          <w:highlight w:val="none"/>
        </w:rPr>
      </w:pPr>
      <w:r>
        <w:rPr>
          <w:rFonts w:hint="eastAsia"/>
          <w:b/>
          <w:sz w:val="28"/>
          <w:szCs w:val="28"/>
          <w:highlight w:val="none"/>
        </w:rPr>
        <w:t>七、在标准体系中的位置，与现行相关法律、法规、规章及标准，特别是强制性标准的协调性</w:t>
      </w:r>
    </w:p>
    <w:p>
      <w:pPr>
        <w:pStyle w:val="9"/>
        <w:autoSpaceDE w:val="0"/>
        <w:autoSpaceDN w:val="0"/>
        <w:spacing w:line="360" w:lineRule="auto"/>
        <w:textAlignment w:val="center"/>
        <w:rPr>
          <w:rFonts w:hint="eastAsia"/>
          <w:highlight w:val="none"/>
        </w:rPr>
      </w:pPr>
      <w:r>
        <w:rPr>
          <w:rFonts w:hint="eastAsia"/>
          <w:sz w:val="24"/>
          <w:szCs w:val="32"/>
          <w:highlight w:val="none"/>
        </w:rPr>
        <w:t>本标准与现行相关法律、法规、规章及相关标准协调一致。</w:t>
      </w:r>
    </w:p>
    <w:p>
      <w:pPr>
        <w:outlineLvl w:val="0"/>
        <w:rPr>
          <w:b/>
          <w:sz w:val="28"/>
          <w:szCs w:val="28"/>
          <w:highlight w:val="none"/>
        </w:rPr>
      </w:pPr>
      <w:r>
        <w:rPr>
          <w:rFonts w:hint="eastAsia"/>
          <w:b/>
          <w:sz w:val="28"/>
          <w:szCs w:val="28"/>
          <w:highlight w:val="none"/>
        </w:rPr>
        <w:t>八、重大分歧意见的处理经过和依据</w:t>
      </w:r>
    </w:p>
    <w:p>
      <w:pPr>
        <w:pStyle w:val="9"/>
        <w:autoSpaceDE w:val="0"/>
        <w:autoSpaceDN w:val="0"/>
        <w:spacing w:line="360" w:lineRule="auto"/>
        <w:textAlignment w:val="center"/>
        <w:rPr>
          <w:highlight w:val="none"/>
        </w:rPr>
      </w:pPr>
      <w:r>
        <w:rPr>
          <w:rFonts w:hint="eastAsia"/>
          <w:sz w:val="24"/>
          <w:szCs w:val="32"/>
          <w:highlight w:val="none"/>
        </w:rPr>
        <w:t>无。</w:t>
      </w:r>
    </w:p>
    <w:p>
      <w:pPr>
        <w:outlineLvl w:val="0"/>
        <w:rPr>
          <w:b/>
          <w:sz w:val="28"/>
          <w:szCs w:val="28"/>
          <w:highlight w:val="none"/>
        </w:rPr>
      </w:pPr>
      <w:r>
        <w:rPr>
          <w:rFonts w:hint="eastAsia"/>
          <w:b/>
          <w:sz w:val="28"/>
          <w:szCs w:val="28"/>
          <w:highlight w:val="none"/>
        </w:rPr>
        <w:t>九、标准性质的建议说明</w:t>
      </w:r>
    </w:p>
    <w:p>
      <w:pPr>
        <w:pStyle w:val="9"/>
        <w:autoSpaceDE w:val="0"/>
        <w:autoSpaceDN w:val="0"/>
        <w:spacing w:line="360" w:lineRule="auto"/>
        <w:textAlignment w:val="center"/>
        <w:rPr>
          <w:i/>
          <w:highlight w:val="none"/>
        </w:rPr>
      </w:pPr>
      <w:r>
        <w:rPr>
          <w:rFonts w:hint="eastAsia"/>
          <w:sz w:val="24"/>
          <w:szCs w:val="32"/>
          <w:highlight w:val="none"/>
          <w:lang w:val="en-US" w:eastAsia="zh-CN"/>
        </w:rPr>
        <w:t>建议本标准的性质为团体标准。</w:t>
      </w:r>
    </w:p>
    <w:p>
      <w:pPr>
        <w:outlineLvl w:val="0"/>
        <w:rPr>
          <w:b/>
          <w:sz w:val="28"/>
          <w:szCs w:val="28"/>
          <w:highlight w:val="none"/>
        </w:rPr>
      </w:pPr>
      <w:r>
        <w:rPr>
          <w:rFonts w:hint="eastAsia"/>
          <w:b/>
          <w:sz w:val="28"/>
          <w:szCs w:val="28"/>
          <w:highlight w:val="none"/>
        </w:rPr>
        <w:t>十、贯彻标准的要求和措施建议</w:t>
      </w:r>
    </w:p>
    <w:p>
      <w:pPr>
        <w:pStyle w:val="9"/>
        <w:autoSpaceDE w:val="0"/>
        <w:autoSpaceDN w:val="0"/>
        <w:spacing w:line="360" w:lineRule="auto"/>
        <w:textAlignment w:val="center"/>
        <w:rPr>
          <w:i/>
          <w:highlight w:val="none"/>
        </w:rPr>
      </w:pPr>
      <w:r>
        <w:rPr>
          <w:rFonts w:hint="eastAsia"/>
          <w:sz w:val="24"/>
          <w:szCs w:val="32"/>
          <w:highlight w:val="none"/>
          <w:lang w:val="en-US" w:eastAsia="zh-CN"/>
        </w:rPr>
        <w:t>标准发布后，三门核电有限公司将配合中国核能行业协会组织行业召开标准宣贯会，开展培训活动，促进该标准更好的贯彻实施。</w:t>
      </w:r>
    </w:p>
    <w:p>
      <w:pPr>
        <w:outlineLvl w:val="0"/>
        <w:rPr>
          <w:b/>
          <w:sz w:val="28"/>
          <w:szCs w:val="28"/>
          <w:highlight w:val="none"/>
        </w:rPr>
      </w:pPr>
      <w:r>
        <w:rPr>
          <w:rFonts w:hint="eastAsia"/>
          <w:b/>
          <w:sz w:val="28"/>
          <w:szCs w:val="28"/>
          <w:highlight w:val="none"/>
        </w:rPr>
        <w:t>十一、废止现行相关标准的建议</w:t>
      </w:r>
    </w:p>
    <w:p>
      <w:pPr>
        <w:pStyle w:val="9"/>
        <w:autoSpaceDE w:val="0"/>
        <w:autoSpaceDN w:val="0"/>
        <w:spacing w:line="360" w:lineRule="auto"/>
        <w:textAlignment w:val="center"/>
        <w:rPr>
          <w:rFonts w:hint="eastAsia"/>
          <w:sz w:val="22"/>
          <w:szCs w:val="28"/>
          <w:highlight w:val="none"/>
          <w:lang w:val="en-US" w:eastAsia="zh-CN"/>
        </w:rPr>
      </w:pPr>
      <w:r>
        <w:rPr>
          <w:rFonts w:hint="eastAsia"/>
          <w:sz w:val="24"/>
          <w:szCs w:val="32"/>
          <w:highlight w:val="none"/>
          <w:lang w:val="en-US" w:eastAsia="zh-CN"/>
        </w:rPr>
        <w:t>无。</w:t>
      </w:r>
    </w:p>
    <w:p>
      <w:pPr>
        <w:outlineLvl w:val="0"/>
        <w:rPr>
          <w:b/>
          <w:sz w:val="28"/>
          <w:szCs w:val="28"/>
          <w:highlight w:val="none"/>
        </w:rPr>
      </w:pPr>
      <w:r>
        <w:rPr>
          <w:rFonts w:hint="eastAsia"/>
          <w:b/>
          <w:sz w:val="28"/>
          <w:szCs w:val="28"/>
          <w:highlight w:val="none"/>
        </w:rPr>
        <w:t>十二、其他应予说明的事项</w:t>
      </w:r>
    </w:p>
    <w:p>
      <w:pPr>
        <w:pStyle w:val="9"/>
        <w:autoSpaceDE w:val="0"/>
        <w:autoSpaceDN w:val="0"/>
        <w:spacing w:line="360" w:lineRule="auto"/>
        <w:textAlignment w:val="center"/>
        <w:rPr>
          <w:rFonts w:hint="eastAsia"/>
          <w:sz w:val="24"/>
          <w:szCs w:val="32"/>
          <w:highlight w:val="none"/>
          <w:lang w:val="en-US" w:eastAsia="zh-CN"/>
        </w:rPr>
      </w:pPr>
      <w:r>
        <w:rPr>
          <w:rFonts w:hint="eastAsia"/>
          <w:sz w:val="24"/>
          <w:szCs w:val="32"/>
          <w:highlight w:val="none"/>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A1"/>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Cambria Math">
    <w:altName w:val="DejaVu Math TeX Gyre"/>
    <w:panose1 w:val="02040503050406030204"/>
    <w:charset w:val="00"/>
    <w:family w:val="auto"/>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等线">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FB04E"/>
    <w:multiLevelType w:val="singleLevel"/>
    <w:tmpl w:val="9D8FB04E"/>
    <w:lvl w:ilvl="0" w:tentative="0">
      <w:start w:val="3"/>
      <w:numFmt w:val="decimal"/>
      <w:suff w:val="nothing"/>
      <w:lvlText w:val="%1、"/>
      <w:lvlJc w:val="left"/>
    </w:lvl>
  </w:abstractNum>
  <w:abstractNum w:abstractNumId="1">
    <w:nsid w:val="3F67238F"/>
    <w:multiLevelType w:val="multilevel"/>
    <w:tmpl w:val="3F67238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A757F"/>
    <w:rsid w:val="000C204E"/>
    <w:rsid w:val="000C6813"/>
    <w:rsid w:val="00132C00"/>
    <w:rsid w:val="00161CD2"/>
    <w:rsid w:val="00177EF7"/>
    <w:rsid w:val="001D5B54"/>
    <w:rsid w:val="0024244C"/>
    <w:rsid w:val="00285F39"/>
    <w:rsid w:val="002E1F35"/>
    <w:rsid w:val="002E2066"/>
    <w:rsid w:val="00385413"/>
    <w:rsid w:val="004656F6"/>
    <w:rsid w:val="004E34A3"/>
    <w:rsid w:val="004E4869"/>
    <w:rsid w:val="00520FE0"/>
    <w:rsid w:val="00555159"/>
    <w:rsid w:val="006633BA"/>
    <w:rsid w:val="006A6B56"/>
    <w:rsid w:val="006E0F94"/>
    <w:rsid w:val="0070047E"/>
    <w:rsid w:val="00764E9E"/>
    <w:rsid w:val="007715B3"/>
    <w:rsid w:val="008438B1"/>
    <w:rsid w:val="008F0708"/>
    <w:rsid w:val="00915C3B"/>
    <w:rsid w:val="009556F0"/>
    <w:rsid w:val="009B25A4"/>
    <w:rsid w:val="009C15CD"/>
    <w:rsid w:val="009C4354"/>
    <w:rsid w:val="00A33BF8"/>
    <w:rsid w:val="00A56356"/>
    <w:rsid w:val="00A740E0"/>
    <w:rsid w:val="00AB5F92"/>
    <w:rsid w:val="00AC1E52"/>
    <w:rsid w:val="00AE1F12"/>
    <w:rsid w:val="00AE3DCA"/>
    <w:rsid w:val="00AE5D51"/>
    <w:rsid w:val="00B24A56"/>
    <w:rsid w:val="00C402D7"/>
    <w:rsid w:val="00C478E3"/>
    <w:rsid w:val="00C879C9"/>
    <w:rsid w:val="00CB603C"/>
    <w:rsid w:val="00D40BF9"/>
    <w:rsid w:val="00DB22F0"/>
    <w:rsid w:val="00DC29B1"/>
    <w:rsid w:val="00DC5C43"/>
    <w:rsid w:val="00E0783F"/>
    <w:rsid w:val="00EB7C73"/>
    <w:rsid w:val="00F60B7D"/>
    <w:rsid w:val="00F63143"/>
    <w:rsid w:val="00FB6407"/>
    <w:rsid w:val="03D211C0"/>
    <w:rsid w:val="08F96315"/>
    <w:rsid w:val="09172B79"/>
    <w:rsid w:val="09B43CFC"/>
    <w:rsid w:val="0DBB1A56"/>
    <w:rsid w:val="0F760C6E"/>
    <w:rsid w:val="12210F1B"/>
    <w:rsid w:val="13B64C32"/>
    <w:rsid w:val="14225E28"/>
    <w:rsid w:val="14C370CB"/>
    <w:rsid w:val="160A421A"/>
    <w:rsid w:val="16532A01"/>
    <w:rsid w:val="17FB050C"/>
    <w:rsid w:val="19125F37"/>
    <w:rsid w:val="1A923BC1"/>
    <w:rsid w:val="1EEA13E1"/>
    <w:rsid w:val="1FB02634"/>
    <w:rsid w:val="21C069CD"/>
    <w:rsid w:val="239F6532"/>
    <w:rsid w:val="23A351CB"/>
    <w:rsid w:val="254717C2"/>
    <w:rsid w:val="255E7843"/>
    <w:rsid w:val="25BD151C"/>
    <w:rsid w:val="26C17505"/>
    <w:rsid w:val="276E023C"/>
    <w:rsid w:val="2917647F"/>
    <w:rsid w:val="29624C42"/>
    <w:rsid w:val="2D002834"/>
    <w:rsid w:val="2E2C024E"/>
    <w:rsid w:val="2E5C09A3"/>
    <w:rsid w:val="2F7B3FA9"/>
    <w:rsid w:val="34F20AE5"/>
    <w:rsid w:val="35956525"/>
    <w:rsid w:val="37E16276"/>
    <w:rsid w:val="3DA20EAA"/>
    <w:rsid w:val="3FA53E97"/>
    <w:rsid w:val="41336AA3"/>
    <w:rsid w:val="415B53B2"/>
    <w:rsid w:val="417527BC"/>
    <w:rsid w:val="41D416E3"/>
    <w:rsid w:val="41ED2295"/>
    <w:rsid w:val="47303293"/>
    <w:rsid w:val="496B110B"/>
    <w:rsid w:val="49CA264A"/>
    <w:rsid w:val="4A4B17F1"/>
    <w:rsid w:val="4B1B110A"/>
    <w:rsid w:val="4B5E6126"/>
    <w:rsid w:val="4BAE4A83"/>
    <w:rsid w:val="4BB861BA"/>
    <w:rsid w:val="4C3A017A"/>
    <w:rsid w:val="4DC36A59"/>
    <w:rsid w:val="4DE34B5A"/>
    <w:rsid w:val="4DF73893"/>
    <w:rsid w:val="4E032DE4"/>
    <w:rsid w:val="4F907B13"/>
    <w:rsid w:val="4FAA24EE"/>
    <w:rsid w:val="4FFE75E0"/>
    <w:rsid w:val="52FD23BB"/>
    <w:rsid w:val="53B03BAD"/>
    <w:rsid w:val="560C05C0"/>
    <w:rsid w:val="59D96B8A"/>
    <w:rsid w:val="5A62665E"/>
    <w:rsid w:val="5A781696"/>
    <w:rsid w:val="5B341579"/>
    <w:rsid w:val="5BE22678"/>
    <w:rsid w:val="5DD29EC5"/>
    <w:rsid w:val="5E60561C"/>
    <w:rsid w:val="5F6A29BF"/>
    <w:rsid w:val="6523167D"/>
    <w:rsid w:val="656848F4"/>
    <w:rsid w:val="66407CD4"/>
    <w:rsid w:val="693E541E"/>
    <w:rsid w:val="6A4D302D"/>
    <w:rsid w:val="6A8763C8"/>
    <w:rsid w:val="6B0D10B1"/>
    <w:rsid w:val="6B3C4550"/>
    <w:rsid w:val="6CDF702A"/>
    <w:rsid w:val="6E2230E8"/>
    <w:rsid w:val="6F8F724F"/>
    <w:rsid w:val="71434F4E"/>
    <w:rsid w:val="716B91C3"/>
    <w:rsid w:val="733F11F1"/>
    <w:rsid w:val="7737BC19"/>
    <w:rsid w:val="7A3949F0"/>
    <w:rsid w:val="7A7CA228"/>
    <w:rsid w:val="7B057F1B"/>
    <w:rsid w:val="7B67BAD6"/>
    <w:rsid w:val="7C7820FD"/>
    <w:rsid w:val="7F7E6938"/>
    <w:rsid w:val="7FC9210C"/>
    <w:rsid w:val="7FDC30BE"/>
    <w:rsid w:val="7FFC9B80"/>
    <w:rsid w:val="7FFFA65F"/>
    <w:rsid w:val="B55FB7E9"/>
    <w:rsid w:val="CDFF1F74"/>
    <w:rsid w:val="E6FDD1F1"/>
    <w:rsid w:val="EBEFF8BF"/>
    <w:rsid w:val="ED660F67"/>
    <w:rsid w:val="EEBF82A8"/>
    <w:rsid w:val="EEDF7A8A"/>
    <w:rsid w:val="F3DCE83A"/>
    <w:rsid w:val="F6A78125"/>
    <w:rsid w:val="FEE7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unhideWhenUsed/>
    <w:qFormat/>
    <w:uiPriority w:val="99"/>
    <w:pPr>
      <w:widowControl w:val="0"/>
      <w:tabs>
        <w:tab w:val="center" w:pos="4153"/>
        <w:tab w:val="right" w:pos="8306"/>
      </w:tabs>
      <w:snapToGrid w:val="0"/>
      <w:spacing w:line="240" w:lineRule="auto"/>
    </w:pPr>
    <w:rPr>
      <w:rFonts w:asciiTheme="minorHAnsi" w:hAnsiTheme="minorHAnsi" w:eastAsiaTheme="minorEastAsia"/>
      <w:sz w:val="18"/>
      <w:szCs w:val="18"/>
    </w:rPr>
  </w:style>
  <w:style w:type="paragraph" w:styleId="4">
    <w:name w:val="header"/>
    <w:basedOn w:val="1"/>
    <w:link w:val="10"/>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sz w:val="18"/>
      <w:szCs w:val="18"/>
    </w:rPr>
  </w:style>
  <w:style w:type="table" w:styleId="6">
    <w:name w:val="Table Grid"/>
    <w:basedOn w:val="5"/>
    <w:qFormat/>
    <w:uiPriority w:val="39"/>
    <w:pPr>
      <w:spacing w:line="240" w:lineRule="auto"/>
    </w:pPr>
    <w:rPr>
      <w:rFonts w:asciiTheme="minorHAnsi" w:hAnsiTheme="minorHAnsi" w:eastAsiaTheme="minorEastAsia"/>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paragraph" w:customStyle="1" w:styleId="9">
    <w:name w:val="列出段落1"/>
    <w:basedOn w:val="1"/>
    <w:qFormat/>
    <w:uiPriority w:val="0"/>
    <w:pPr>
      <w:widowControl w:val="0"/>
      <w:spacing w:line="240" w:lineRule="auto"/>
      <w:ind w:firstLine="420" w:firstLineChars="200"/>
      <w:jc w:val="both"/>
    </w:pPr>
    <w:rPr>
      <w:rFonts w:ascii="Times New Roman" w:hAnsi="Times New Roman" w:cs="Times New Roman"/>
      <w:sz w:val="21"/>
    </w:rPr>
  </w:style>
  <w:style w:type="character" w:customStyle="1" w:styleId="10">
    <w:name w:val="页眉 Char"/>
    <w:basedOn w:val="7"/>
    <w:link w:val="4"/>
    <w:qFormat/>
    <w:uiPriority w:val="99"/>
    <w:rPr>
      <w:rFonts w:asciiTheme="minorHAnsi" w:hAnsiTheme="minorHAnsi" w:eastAsiaTheme="minorEastAsia"/>
      <w:sz w:val="18"/>
      <w:szCs w:val="18"/>
    </w:rPr>
  </w:style>
  <w:style w:type="character" w:customStyle="1" w:styleId="11">
    <w:name w:val="页脚 Char"/>
    <w:basedOn w:val="7"/>
    <w:link w:val="3"/>
    <w:qFormat/>
    <w:uiPriority w:val="99"/>
    <w:rPr>
      <w:rFonts w:asciiTheme="minorHAnsi" w:hAnsiTheme="minorHAnsi" w:eastAsiaTheme="minorEastAsia"/>
      <w:sz w:val="18"/>
      <w:szCs w:val="18"/>
    </w:rPr>
  </w:style>
  <w:style w:type="paragraph" w:customStyle="1" w:styleId="12">
    <w:name w:val="列出段落11"/>
    <w:basedOn w:val="1"/>
    <w:qFormat/>
    <w:uiPriority w:val="0"/>
    <w:pPr>
      <w:widowControl w:val="0"/>
      <w:spacing w:line="240" w:lineRule="auto"/>
      <w:ind w:firstLine="420" w:firstLineChars="200"/>
      <w:jc w:val="both"/>
    </w:pPr>
    <w:rPr>
      <w:rFonts w:ascii="Times New Roman" w:hAnsi="Times New Roman" w:cs="Times New Roman"/>
      <w:sz w:val="21"/>
    </w:rPr>
  </w:style>
  <w:style w:type="paragraph" w:customStyle="1" w:styleId="13">
    <w:name w:val="标准文件_表格"/>
    <w:qFormat/>
    <w:uiPriority w:val="0"/>
    <w:pPr>
      <w:autoSpaceDE w:val="0"/>
      <w:autoSpaceDN w:val="0"/>
      <w:ind w:firstLine="0" w:firstLineChars="0"/>
      <w:jc w:val="center"/>
    </w:pPr>
    <w:rPr>
      <w:rFonts w:ascii="宋体" w:hAnsi="Times New Roman" w:eastAsia="宋体" w:cs="Times New Roman"/>
      <w:sz w:val="18"/>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1363</Words>
  <Characters>7772</Characters>
  <Lines>64</Lines>
  <Paragraphs>18</Paragraphs>
  <TotalTime>0</TotalTime>
  <ScaleCrop>false</ScaleCrop>
  <LinksUpToDate>false</LinksUpToDate>
  <CharactersWithSpaces>9117</CharactersWithSpaces>
  <Application>WPS Office_11.8.0.12307_F1E327BC-269C-435d-A152-05C5408002CA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2022-10-28T09:17:00Z</dcterms:created>
  <dc:creator>王炫</dc:creator>
  <cp:lastModifiedBy>lvnw</cp:lastModifiedBy>
  <dcterms:modified xsi:type="dcterms:W3CDTF">2026-03-19T08:41:36Z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2052-11.8.0.12307</vt:lpwstr>
  </property>
  <property fmtid="{D5CDD505-2E9C-101B-9397-08002B2CF9AE}" pid="3" name="ICV">
    <vt:lpwstr>11A0C14617044BEAB3733752ED367DCA</vt:lpwstr>
  </property>
</Properties>
</file>